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422E" w:rsidRPr="003568F0" w:rsidRDefault="00BE422E" w:rsidP="00433D6D">
      <w:pPr>
        <w:tabs>
          <w:tab w:val="left" w:pos="688"/>
        </w:tabs>
        <w:jc w:val="center"/>
        <w:rPr>
          <w:b/>
          <w:sz w:val="28"/>
          <w:szCs w:val="28"/>
        </w:rPr>
      </w:pPr>
      <w:r w:rsidRPr="003568F0">
        <w:rPr>
          <w:b/>
          <w:sz w:val="28"/>
          <w:szCs w:val="28"/>
        </w:rPr>
        <w:t>Evaluation of the photocatalytic performance of construction materials for urban air depollution</w:t>
      </w:r>
    </w:p>
    <w:p w:rsidR="00BE422E" w:rsidRPr="003568F0" w:rsidRDefault="00BE422E" w:rsidP="00433D6D">
      <w:pPr>
        <w:tabs>
          <w:tab w:val="left" w:pos="688"/>
        </w:tabs>
        <w:rPr>
          <w:b/>
        </w:rPr>
      </w:pPr>
    </w:p>
    <w:p w:rsidR="00D73568" w:rsidRPr="003568F0" w:rsidRDefault="00165CFA" w:rsidP="00433D6D">
      <w:pPr>
        <w:tabs>
          <w:tab w:val="left" w:pos="688"/>
        </w:tabs>
        <w:rPr>
          <w:b/>
          <w:lang w:val="es-ES"/>
        </w:rPr>
      </w:pPr>
      <w:r w:rsidRPr="003568F0">
        <w:rPr>
          <w:rFonts w:ascii="MyriadPro-Semibold" w:eastAsiaTheme="minorHAnsi" w:hAnsi="MyriadPro-Semibold" w:cs="MyriadPro-Semibold"/>
          <w:sz w:val="20"/>
          <w:szCs w:val="20"/>
          <w:lang w:val="es-ES" w:eastAsia="en-US"/>
        </w:rPr>
        <w:t>S. Suárez</w:t>
      </w:r>
      <w:r w:rsidRPr="003568F0">
        <w:rPr>
          <w:rFonts w:ascii="MyriadPro-Semibold" w:eastAsiaTheme="minorHAnsi" w:hAnsi="MyriadPro-Semibold" w:cs="MyriadPro-Semibold"/>
          <w:sz w:val="20"/>
          <w:szCs w:val="20"/>
          <w:vertAlign w:val="superscript"/>
          <w:lang w:val="es-ES" w:eastAsia="en-US"/>
        </w:rPr>
        <w:t>1</w:t>
      </w:r>
      <w:r w:rsidRPr="003568F0">
        <w:rPr>
          <w:rFonts w:ascii="MyriadPro-Semibold" w:eastAsiaTheme="minorHAnsi" w:hAnsi="MyriadPro-Semibold" w:cs="MyriadPro-Semibold"/>
          <w:sz w:val="14"/>
          <w:szCs w:val="14"/>
          <w:lang w:val="es-ES" w:eastAsia="en-US"/>
        </w:rPr>
        <w:t xml:space="preserve"> </w:t>
      </w:r>
      <w:r w:rsidRPr="003568F0">
        <w:rPr>
          <w:rFonts w:ascii="MyriadPro-Semibold" w:eastAsiaTheme="minorHAnsi" w:hAnsi="MyriadPro-Semibold" w:cs="MyriadPro-Semibold"/>
          <w:sz w:val="20"/>
          <w:szCs w:val="20"/>
          <w:lang w:val="es-ES" w:eastAsia="en-US"/>
        </w:rPr>
        <w:t>· M. D. Hernandez</w:t>
      </w:r>
      <w:r w:rsidRPr="003568F0">
        <w:rPr>
          <w:rFonts w:ascii="Cambria Math" w:eastAsiaTheme="minorHAnsi" w:hAnsi="Cambria Math" w:cs="Cambria Math"/>
          <w:sz w:val="20"/>
          <w:szCs w:val="20"/>
          <w:lang w:val="es-ES" w:eastAsia="en-US"/>
        </w:rPr>
        <w:t>‑</w:t>
      </w:r>
      <w:r w:rsidRPr="003568F0">
        <w:rPr>
          <w:rFonts w:ascii="MyriadPro-Semibold" w:eastAsiaTheme="minorHAnsi" w:hAnsi="MyriadPro-Semibold" w:cs="MyriadPro-Semibold"/>
          <w:sz w:val="20"/>
          <w:szCs w:val="20"/>
          <w:lang w:val="es-ES" w:eastAsia="en-US"/>
        </w:rPr>
        <w:t>Alons</w:t>
      </w:r>
      <w:r w:rsidRPr="003568F0">
        <w:rPr>
          <w:rFonts w:ascii="MyriadPro-Semibold" w:eastAsiaTheme="minorHAnsi" w:hAnsi="MyriadPro-Semibold" w:cs="MyriadPro-Semibold"/>
          <w:sz w:val="20"/>
          <w:szCs w:val="20"/>
          <w:lang w:val="es-ES" w:eastAsia="en-US"/>
        </w:rPr>
        <w:t>o</w:t>
      </w:r>
      <w:r w:rsidRPr="003568F0">
        <w:rPr>
          <w:rFonts w:ascii="MyriadPro-Semibold" w:eastAsiaTheme="minorHAnsi" w:hAnsi="MyriadPro-Semibold" w:cs="MyriadPro-Semibold"/>
          <w:sz w:val="20"/>
          <w:szCs w:val="20"/>
          <w:vertAlign w:val="superscript"/>
          <w:lang w:val="es-ES" w:eastAsia="en-US"/>
        </w:rPr>
        <w:t>2</w:t>
      </w:r>
      <w:r w:rsidRPr="003568F0">
        <w:rPr>
          <w:rFonts w:ascii="MyriadPro-Semibold" w:eastAsiaTheme="minorHAnsi" w:hAnsi="MyriadPro-Semibold" w:cs="MyriadPro-Semibold"/>
          <w:sz w:val="14"/>
          <w:szCs w:val="14"/>
          <w:lang w:val="es-ES" w:eastAsia="en-US"/>
        </w:rPr>
        <w:t xml:space="preserve"> </w:t>
      </w:r>
      <w:r w:rsidRPr="003568F0">
        <w:rPr>
          <w:rFonts w:ascii="MyriadPro-Semibold" w:eastAsiaTheme="minorHAnsi" w:hAnsi="MyriadPro-Semibold" w:cs="MyriadPro-Semibold"/>
          <w:sz w:val="20"/>
          <w:szCs w:val="20"/>
          <w:lang w:val="es-ES" w:eastAsia="en-US"/>
        </w:rPr>
        <w:t>· C. Martínez</w:t>
      </w:r>
      <w:r w:rsidRPr="003568F0">
        <w:rPr>
          <w:rFonts w:ascii="MyriadPro-Semibold" w:eastAsiaTheme="minorHAnsi" w:hAnsi="MyriadPro-Semibold" w:cs="MyriadPro-Semibold"/>
          <w:sz w:val="20"/>
          <w:szCs w:val="20"/>
          <w:vertAlign w:val="superscript"/>
          <w:lang w:val="es-ES" w:eastAsia="en-US"/>
        </w:rPr>
        <w:t>1</w:t>
      </w:r>
      <w:r w:rsidRPr="003568F0">
        <w:rPr>
          <w:rFonts w:ascii="MyriadPro-Semibold" w:eastAsiaTheme="minorHAnsi" w:hAnsi="MyriadPro-Semibold" w:cs="MyriadPro-Semibold"/>
          <w:sz w:val="20"/>
          <w:szCs w:val="20"/>
          <w:lang w:val="es-ES" w:eastAsia="en-US"/>
        </w:rPr>
        <w:t>· B. Sanchez</w:t>
      </w:r>
      <w:r w:rsidRPr="003568F0">
        <w:rPr>
          <w:rFonts w:ascii="MyriadPro-Semibold" w:eastAsiaTheme="minorHAnsi" w:hAnsi="MyriadPro-Semibold" w:cs="MyriadPro-Semibold"/>
          <w:sz w:val="20"/>
          <w:szCs w:val="20"/>
          <w:vertAlign w:val="superscript"/>
          <w:lang w:val="es-ES" w:eastAsia="en-US"/>
        </w:rPr>
        <w:t>1</w:t>
      </w:r>
    </w:p>
    <w:p w:rsidR="00165CFA" w:rsidRPr="003568F0" w:rsidRDefault="00165CFA" w:rsidP="00433D6D">
      <w:pPr>
        <w:tabs>
          <w:tab w:val="left" w:pos="688"/>
        </w:tabs>
        <w:rPr>
          <w:b/>
          <w:lang w:val="es-ES"/>
        </w:rPr>
      </w:pPr>
    </w:p>
    <w:p w:rsidR="00165CFA" w:rsidRPr="003568F0" w:rsidRDefault="00165CFA" w:rsidP="00165CFA">
      <w:pPr>
        <w:autoSpaceDE w:val="0"/>
        <w:autoSpaceDN w:val="0"/>
        <w:adjustRightInd w:val="0"/>
        <w:rPr>
          <w:rFonts w:ascii="STIX-Regular" w:eastAsiaTheme="minorHAnsi" w:hAnsi="STIX-Regular" w:cs="STIX-Regular"/>
          <w:sz w:val="17"/>
          <w:szCs w:val="17"/>
          <w:lang w:val="en-US" w:eastAsia="en-US"/>
        </w:rPr>
      </w:pPr>
      <w:r w:rsidRPr="003568F0">
        <w:rPr>
          <w:rFonts w:ascii="STIX-Regular" w:eastAsiaTheme="minorHAnsi" w:hAnsi="STIX-Regular" w:cs="STIX-Regular"/>
          <w:sz w:val="17"/>
          <w:szCs w:val="17"/>
          <w:lang w:val="en-US" w:eastAsia="en-US"/>
        </w:rPr>
        <w:t xml:space="preserve">1 </w:t>
      </w:r>
      <w:r w:rsidRPr="003568F0">
        <w:rPr>
          <w:rFonts w:ascii="STIX-Regular" w:eastAsiaTheme="minorHAnsi" w:hAnsi="STIX-Regular" w:cs="STIX-Regular"/>
          <w:sz w:val="17"/>
          <w:szCs w:val="17"/>
          <w:lang w:val="en-US" w:eastAsia="en-US"/>
        </w:rPr>
        <w:t>Photocatalytic Treatment of Pollutants in Air, Renewable</w:t>
      </w:r>
    </w:p>
    <w:p w:rsidR="00165CFA" w:rsidRPr="003568F0" w:rsidRDefault="00165CFA" w:rsidP="00165CFA">
      <w:pPr>
        <w:autoSpaceDE w:val="0"/>
        <w:autoSpaceDN w:val="0"/>
        <w:adjustRightInd w:val="0"/>
        <w:rPr>
          <w:rFonts w:ascii="STIX-Regular" w:eastAsiaTheme="minorHAnsi" w:hAnsi="STIX-Regular" w:cs="STIX-Regular"/>
          <w:sz w:val="17"/>
          <w:szCs w:val="17"/>
          <w:lang w:val="en-US" w:eastAsia="en-US"/>
        </w:rPr>
      </w:pPr>
      <w:r w:rsidRPr="003568F0">
        <w:rPr>
          <w:rFonts w:ascii="STIX-Regular" w:eastAsiaTheme="minorHAnsi" w:hAnsi="STIX-Regular" w:cs="STIX-Regular"/>
          <w:sz w:val="17"/>
          <w:szCs w:val="17"/>
          <w:lang w:val="en-US" w:eastAsia="en-US"/>
        </w:rPr>
        <w:t>Energy Division, CIEMAT, Avda. Computense 40, Building</w:t>
      </w:r>
    </w:p>
    <w:p w:rsidR="00165CFA" w:rsidRPr="003568F0" w:rsidRDefault="00165CFA" w:rsidP="00165CFA">
      <w:pPr>
        <w:tabs>
          <w:tab w:val="left" w:pos="688"/>
        </w:tabs>
        <w:rPr>
          <w:rFonts w:ascii="STIX-Regular" w:eastAsiaTheme="minorHAnsi" w:hAnsi="STIX-Regular" w:cs="STIX-Regular"/>
          <w:sz w:val="17"/>
          <w:szCs w:val="17"/>
          <w:lang w:val="es-ES" w:eastAsia="en-US"/>
        </w:rPr>
      </w:pPr>
      <w:r w:rsidRPr="003568F0">
        <w:rPr>
          <w:rFonts w:ascii="STIX-Regular" w:eastAsiaTheme="minorHAnsi" w:hAnsi="STIX-Regular" w:cs="STIX-Regular"/>
          <w:sz w:val="17"/>
          <w:szCs w:val="17"/>
          <w:lang w:val="es-ES" w:eastAsia="en-US"/>
        </w:rPr>
        <w:t>42, 28040 Madrid, Spain</w:t>
      </w:r>
    </w:p>
    <w:p w:rsidR="00165CFA" w:rsidRPr="003568F0" w:rsidRDefault="00165CFA" w:rsidP="00165CFA">
      <w:pPr>
        <w:tabs>
          <w:tab w:val="left" w:pos="688"/>
        </w:tabs>
        <w:rPr>
          <w:rFonts w:ascii="STIX-Regular" w:eastAsiaTheme="minorHAnsi" w:hAnsi="STIX-Regular" w:cs="STIX-Regular"/>
          <w:sz w:val="17"/>
          <w:szCs w:val="17"/>
          <w:lang w:val="es-ES" w:eastAsia="en-US"/>
        </w:rPr>
      </w:pPr>
    </w:p>
    <w:p w:rsidR="00165CFA" w:rsidRPr="003568F0" w:rsidRDefault="00165CFA" w:rsidP="00165CFA">
      <w:pPr>
        <w:autoSpaceDE w:val="0"/>
        <w:autoSpaceDN w:val="0"/>
        <w:adjustRightInd w:val="0"/>
        <w:rPr>
          <w:rFonts w:ascii="STIX-Regular" w:eastAsiaTheme="minorHAnsi" w:hAnsi="STIX-Regular" w:cs="STIX-Regular"/>
          <w:sz w:val="17"/>
          <w:szCs w:val="17"/>
          <w:lang w:val="en-US" w:eastAsia="en-US"/>
        </w:rPr>
      </w:pPr>
      <w:r w:rsidRPr="003568F0">
        <w:rPr>
          <w:rFonts w:ascii="STIX-Regular" w:eastAsiaTheme="minorHAnsi" w:hAnsi="STIX-Regular" w:cs="STIX-Regular"/>
          <w:sz w:val="17"/>
          <w:szCs w:val="17"/>
          <w:lang w:val="en-US" w:eastAsia="en-US"/>
        </w:rPr>
        <w:t xml:space="preserve">2 </w:t>
      </w:r>
      <w:r w:rsidRPr="003568F0">
        <w:rPr>
          <w:rFonts w:ascii="STIX-Regular" w:eastAsiaTheme="minorHAnsi" w:hAnsi="STIX-Regular" w:cs="STIX-Regular"/>
          <w:sz w:val="17"/>
          <w:szCs w:val="17"/>
          <w:lang w:val="en-US" w:eastAsia="en-US"/>
        </w:rPr>
        <w:t>Repsol Technology Lab, C/Agustín de Betancourt s/n,</w:t>
      </w:r>
    </w:p>
    <w:p w:rsidR="00165CFA" w:rsidRPr="003568F0" w:rsidRDefault="00165CFA" w:rsidP="00165CFA">
      <w:pPr>
        <w:tabs>
          <w:tab w:val="left" w:pos="688"/>
        </w:tabs>
        <w:rPr>
          <w:rFonts w:ascii="STIX-Regular" w:eastAsiaTheme="minorHAnsi" w:hAnsi="STIX-Regular" w:cs="STIX-Regular"/>
          <w:sz w:val="17"/>
          <w:szCs w:val="17"/>
          <w:lang w:val="es-ES" w:eastAsia="en-US"/>
        </w:rPr>
      </w:pPr>
      <w:r w:rsidRPr="003568F0">
        <w:rPr>
          <w:rFonts w:ascii="STIX-Regular" w:eastAsiaTheme="minorHAnsi" w:hAnsi="STIX-Regular" w:cs="STIX-Regular"/>
          <w:sz w:val="17"/>
          <w:szCs w:val="17"/>
          <w:lang w:val="es-ES" w:eastAsia="en-US"/>
        </w:rPr>
        <w:t>28935 Madrid, Spain</w:t>
      </w:r>
    </w:p>
    <w:p w:rsidR="00165CFA" w:rsidRPr="003568F0" w:rsidRDefault="00165CFA" w:rsidP="00165CFA">
      <w:pPr>
        <w:tabs>
          <w:tab w:val="left" w:pos="688"/>
        </w:tabs>
        <w:rPr>
          <w:rFonts w:ascii="STIX-Regular" w:eastAsiaTheme="minorHAnsi" w:hAnsi="STIX-Regular" w:cs="STIX-Regular"/>
          <w:sz w:val="17"/>
          <w:szCs w:val="17"/>
          <w:lang w:val="es-ES" w:eastAsia="en-US"/>
        </w:rPr>
      </w:pPr>
    </w:p>
    <w:p w:rsidR="00165CFA" w:rsidRPr="003568F0" w:rsidRDefault="00165CFA" w:rsidP="00165CFA">
      <w:pPr>
        <w:tabs>
          <w:tab w:val="left" w:pos="688"/>
        </w:tabs>
        <w:rPr>
          <w:b/>
          <w:lang w:val="es-ES"/>
        </w:rPr>
      </w:pPr>
    </w:p>
    <w:p w:rsidR="00BE422E" w:rsidRPr="003568F0" w:rsidRDefault="00BE422E" w:rsidP="00433D6D">
      <w:pPr>
        <w:spacing w:line="360" w:lineRule="auto"/>
        <w:rPr>
          <w:b/>
        </w:rPr>
      </w:pPr>
      <w:r w:rsidRPr="003568F0">
        <w:rPr>
          <w:b/>
        </w:rPr>
        <w:t>Abstract</w:t>
      </w:r>
    </w:p>
    <w:p w:rsidR="00920EED" w:rsidRPr="003568F0" w:rsidRDefault="00920EED" w:rsidP="00920EED">
      <w:pPr>
        <w:spacing w:line="360" w:lineRule="auto"/>
        <w:jc w:val="both"/>
        <w:rPr>
          <w:b/>
        </w:rPr>
      </w:pPr>
      <w:r w:rsidRPr="003568F0">
        <w:t>Two commercial photocatalytic cementitious materials based on TiO</w:t>
      </w:r>
      <w:r w:rsidRPr="003568F0">
        <w:rPr>
          <w:vertAlign w:val="subscript"/>
        </w:rPr>
        <w:t>2</w:t>
      </w:r>
      <w:r w:rsidRPr="003568F0">
        <w:t xml:space="preserve"> were studied. The photodegradation of trichloroethylene and nitric oxide as model volatile organochloride and inorganic compound at laboratory scale were evaluated. TiO</w:t>
      </w:r>
      <w:r w:rsidRPr="003568F0">
        <w:rPr>
          <w:vertAlign w:val="subscript"/>
        </w:rPr>
        <w:t>2</w:t>
      </w:r>
      <w:r w:rsidRPr="003568F0">
        <w:t xml:space="preserve"> P25 was selected as benchmark photocatalys</w:t>
      </w:r>
      <w:bookmarkStart w:id="0" w:name="_GoBack"/>
      <w:bookmarkEnd w:id="0"/>
      <w:r w:rsidRPr="003568F0">
        <w:t>t. Materials were characterised by N</w:t>
      </w:r>
      <w:r w:rsidRPr="003568F0">
        <w:rPr>
          <w:vertAlign w:val="subscript"/>
        </w:rPr>
        <w:t>2</w:t>
      </w:r>
      <w:r w:rsidRPr="003568F0">
        <w:t xml:space="preserve"> adsorption-desorption, </w:t>
      </w:r>
      <w:r w:rsidR="003D753A" w:rsidRPr="003568F0">
        <w:t>TGA</w:t>
      </w:r>
      <w:r w:rsidRPr="003568F0">
        <w:t>, SEM-EDX, XRD and the hydrophobic-hydrophilic nature of the surface was determined through contact angle measurements. Preliminary photoactivity tests covering a glass plate with the photocatalytic materials were performed. Moreover, real asphalt plates of around one-centimetre thickness covered with the photoactive cementitious materials were also evaluated. A notable improvement of the photocatalytic activity from the first to the second photocatalytic run was observed. Thus, sample conditioning with airflow and UV-A irradiation, allows the elimination of adsorbed species on TiO</w:t>
      </w:r>
      <w:r w:rsidRPr="003568F0">
        <w:rPr>
          <w:vertAlign w:val="subscript"/>
        </w:rPr>
        <w:t>2</w:t>
      </w:r>
      <w:r w:rsidRPr="003568F0">
        <w:t xml:space="preserve"> active sites, i.e. carbonates</w:t>
      </w:r>
      <w:r w:rsidR="00AF23A5" w:rsidRPr="003568F0">
        <w:t>, ensuring the</w:t>
      </w:r>
      <w:r w:rsidRPr="003568F0">
        <w:t xml:space="preserve"> stability under operating conditions. The cementitious samples showed complete photo-oxidation of the organochloride compound while presented less photoefficiency for nitric oxide oxidation. The results obtained with the materials deposited on glass and asphalt showed the crucial role of the sample loading and the nature of the substrate in the nitric oxide photo-oxidation. TiO</w:t>
      </w:r>
      <w:r w:rsidRPr="003568F0">
        <w:rPr>
          <w:vertAlign w:val="subscript"/>
        </w:rPr>
        <w:t>2</w:t>
      </w:r>
      <w:r w:rsidRPr="003568F0">
        <w:t xml:space="preserve"> P25 leads to a total nitric oxide conversion but with high amount of nitrogen dioxide formation. The selected photoactive asphalt exhibited a 32 % nitric oxide conversion, lower than pure TiO</w:t>
      </w:r>
      <w:r w:rsidRPr="003568F0">
        <w:rPr>
          <w:vertAlign w:val="subscript"/>
        </w:rPr>
        <w:t>2</w:t>
      </w:r>
      <w:r w:rsidRPr="003568F0">
        <w:t xml:space="preserve">-P25, but avoids the nitrogen dioxide release. The selected photocatalytic asphalt tested under the ISO 22197-1:2007 standard shows 29 % and 22% NO and NOx </w:t>
      </w:r>
      <w:r w:rsidR="003D753A" w:rsidRPr="003568F0">
        <w:t>removal</w:t>
      </w:r>
      <w:r w:rsidRPr="003568F0">
        <w:t xml:space="preserve"> respectively, under more demanding operating conditions.</w:t>
      </w:r>
    </w:p>
    <w:p w:rsidR="00BE422E" w:rsidRPr="003568F0" w:rsidRDefault="00BE422E" w:rsidP="00433D6D">
      <w:pPr>
        <w:spacing w:line="360" w:lineRule="auto"/>
        <w:jc w:val="both"/>
      </w:pPr>
    </w:p>
    <w:p w:rsidR="00BE422E" w:rsidRPr="003568F0" w:rsidRDefault="00BE422E" w:rsidP="00433D6D">
      <w:pPr>
        <w:spacing w:line="360" w:lineRule="auto"/>
        <w:jc w:val="both"/>
        <w:rPr>
          <w:b/>
          <w:i/>
          <w:u w:val="single"/>
        </w:rPr>
      </w:pPr>
      <w:r w:rsidRPr="003568F0">
        <w:rPr>
          <w:b/>
          <w:i/>
          <w:u w:val="single"/>
        </w:rPr>
        <w:t>Keywords</w:t>
      </w:r>
    </w:p>
    <w:p w:rsidR="00BE422E" w:rsidRPr="003568F0" w:rsidRDefault="00BE422E" w:rsidP="00433D6D">
      <w:pPr>
        <w:spacing w:line="360" w:lineRule="auto"/>
        <w:jc w:val="both"/>
      </w:pPr>
      <w:r w:rsidRPr="003568F0">
        <w:lastRenderedPageBreak/>
        <w:t>Cementitious materials; photocatalysis; TiO</w:t>
      </w:r>
      <w:r w:rsidRPr="003568F0">
        <w:rPr>
          <w:vertAlign w:val="subscript"/>
        </w:rPr>
        <w:t>2</w:t>
      </w:r>
      <w:r w:rsidRPr="003568F0">
        <w:t>; nitrogen oxides; air pollution control; photocatalytic asphalts.</w:t>
      </w:r>
    </w:p>
    <w:p w:rsidR="00BE422E" w:rsidRPr="003568F0" w:rsidRDefault="00BE422E" w:rsidP="00433D6D">
      <w:pPr>
        <w:spacing w:line="360" w:lineRule="auto"/>
        <w:jc w:val="both"/>
        <w:rPr>
          <w:b/>
          <w:lang w:val="en-US"/>
        </w:rPr>
      </w:pPr>
      <w:r w:rsidRPr="003568F0">
        <w:br w:type="page"/>
      </w:r>
      <w:r w:rsidRPr="003568F0">
        <w:rPr>
          <w:b/>
          <w:lang w:val="en-US"/>
        </w:rPr>
        <w:lastRenderedPageBreak/>
        <w:t>Introduction</w:t>
      </w:r>
    </w:p>
    <w:p w:rsidR="00BE422E" w:rsidRPr="003568F0" w:rsidRDefault="00BE422E" w:rsidP="00433D6D">
      <w:pPr>
        <w:pStyle w:val="TextFirstParagraph"/>
        <w:widowControl w:val="0"/>
        <w:spacing w:line="360" w:lineRule="auto"/>
        <w:ind w:firstLine="142"/>
        <w:rPr>
          <w:sz w:val="24"/>
          <w:lang w:val="en-US"/>
        </w:rPr>
      </w:pPr>
      <w:r w:rsidRPr="003568F0">
        <w:rPr>
          <w:sz w:val="24"/>
          <w:lang w:val="en-US"/>
        </w:rPr>
        <w:t xml:space="preserve"> </w:t>
      </w:r>
    </w:p>
    <w:p w:rsidR="00BE422E" w:rsidRPr="003568F0" w:rsidRDefault="00BE422E" w:rsidP="00433D6D">
      <w:pPr>
        <w:pStyle w:val="TextFirstParagraph"/>
        <w:widowControl w:val="0"/>
        <w:spacing w:line="360" w:lineRule="auto"/>
        <w:ind w:firstLine="142"/>
        <w:rPr>
          <w:sz w:val="24"/>
          <w:lang w:val="en-US"/>
        </w:rPr>
      </w:pPr>
      <w:r w:rsidRPr="003568F0">
        <w:rPr>
          <w:sz w:val="24"/>
          <w:lang w:val="en-US"/>
        </w:rPr>
        <w:t xml:space="preserve">The use of photocatalytic cement and architectonic elements as passive decontamination units is getting a great deal of attention in the last years </w:t>
      </w:r>
      <w:r w:rsidRPr="003568F0">
        <w:rPr>
          <w:noProof/>
          <w:sz w:val="24"/>
        </w:rPr>
        <w:t>(Boonen et al. 2015; Maggos et al. 2008; Yu et al. 2017)</w:t>
      </w:r>
      <w:r w:rsidRPr="003568F0">
        <w:rPr>
          <w:sz w:val="24"/>
          <w:lang w:val="en-US"/>
        </w:rPr>
        <w:t xml:space="preserve">. Thus, building construction materials such as roofing membranes, external building surfaces </w:t>
      </w:r>
      <w:r w:rsidRPr="003568F0">
        <w:rPr>
          <w:noProof/>
          <w:sz w:val="24"/>
        </w:rPr>
        <w:t>(Baudys et al. 2015)</w:t>
      </w:r>
      <w:r w:rsidRPr="003568F0">
        <w:rPr>
          <w:sz w:val="24"/>
          <w:lang w:val="en-US"/>
        </w:rPr>
        <w:t xml:space="preserve"> as well as green city elements based on photocatalytic concrete </w:t>
      </w:r>
      <w:r w:rsidRPr="003568F0">
        <w:rPr>
          <w:noProof/>
          <w:sz w:val="24"/>
        </w:rPr>
        <w:t>(Hassan et al. 2010; Hüsken et al. 2009; Sikkema et al. 2015; Yang et al. 2019)</w:t>
      </w:r>
      <w:r w:rsidRPr="003568F0">
        <w:rPr>
          <w:sz w:val="24"/>
          <w:lang w:val="en-US"/>
        </w:rPr>
        <w:t xml:space="preserve">, cements </w:t>
      </w:r>
      <w:r w:rsidRPr="003568F0">
        <w:rPr>
          <w:noProof/>
          <w:sz w:val="24"/>
        </w:rPr>
        <w:t>(Aïssa et al. 2011; Bogutyn et al. 2015; Folli et al. 2012; Macphee and Folli 2016; Pérez-Nicolás et al. 2015)</w:t>
      </w:r>
      <w:r w:rsidRPr="003568F0">
        <w:rPr>
          <w:sz w:val="24"/>
          <w:lang w:val="en-US"/>
        </w:rPr>
        <w:t xml:space="preserve"> or asphalts </w:t>
      </w:r>
      <w:r w:rsidRPr="003568F0">
        <w:rPr>
          <w:noProof/>
          <w:sz w:val="24"/>
        </w:rPr>
        <w:t>(Toro et al. 2016)</w:t>
      </w:r>
      <w:r w:rsidRPr="003568F0">
        <w:rPr>
          <w:sz w:val="24"/>
          <w:lang w:val="en-US"/>
        </w:rPr>
        <w:t xml:space="preserve"> are being developed in order to obtain friendly and sustainable environmental solutions </w:t>
      </w:r>
      <w:r w:rsidRPr="003568F0">
        <w:rPr>
          <w:noProof/>
          <w:sz w:val="24"/>
        </w:rPr>
        <w:t>(Ângelo et al. 2013; Serpone 2018)</w:t>
      </w:r>
      <w:r w:rsidRPr="003568F0">
        <w:rPr>
          <w:sz w:val="24"/>
          <w:lang w:val="en-US"/>
        </w:rPr>
        <w:t xml:space="preserve">. </w:t>
      </w:r>
    </w:p>
    <w:p w:rsidR="00BE422E" w:rsidRPr="003568F0" w:rsidRDefault="00BE422E" w:rsidP="00433D6D">
      <w:pPr>
        <w:pStyle w:val="TextFirstParagraph"/>
        <w:widowControl w:val="0"/>
        <w:spacing w:line="360" w:lineRule="auto"/>
        <w:ind w:firstLine="142"/>
        <w:rPr>
          <w:sz w:val="24"/>
          <w:lang w:val="en-US"/>
        </w:rPr>
      </w:pPr>
      <w:r w:rsidRPr="003568F0">
        <w:rPr>
          <w:sz w:val="24"/>
          <w:lang w:val="en-US"/>
        </w:rPr>
        <w:t xml:space="preserve"> </w:t>
      </w:r>
    </w:p>
    <w:p w:rsidR="00BE422E" w:rsidRPr="003568F0" w:rsidRDefault="00BE422E" w:rsidP="00433D6D">
      <w:pPr>
        <w:pStyle w:val="TextFirstParagraph"/>
        <w:widowControl w:val="0"/>
        <w:spacing w:line="360" w:lineRule="auto"/>
        <w:ind w:firstLine="142"/>
        <w:rPr>
          <w:sz w:val="24"/>
          <w:lang w:val="en-US"/>
        </w:rPr>
      </w:pPr>
      <w:r w:rsidRPr="003568F0">
        <w:rPr>
          <w:sz w:val="24"/>
          <w:lang w:val="en-US"/>
        </w:rPr>
        <w:t xml:space="preserve">The environmental impact of nitrogen oxides is well known. The NOx contribute to the acid rain, and the so call photochemical smog, being the responsibility of human health problems </w:t>
      </w:r>
      <w:r w:rsidRPr="003568F0">
        <w:rPr>
          <w:noProof/>
          <w:sz w:val="24"/>
          <w:lang w:val="en-US"/>
        </w:rPr>
        <w:t>(Butler and Williams 1993; Wayne 1993)</w:t>
      </w:r>
      <w:r w:rsidRPr="003568F0">
        <w:rPr>
          <w:sz w:val="24"/>
          <w:lang w:val="en-US"/>
        </w:rPr>
        <w:t>. The acid rain is based on the reaction between NO</w:t>
      </w:r>
      <w:r w:rsidRPr="003568F0">
        <w:rPr>
          <w:sz w:val="24"/>
          <w:vertAlign w:val="subscript"/>
          <w:lang w:val="en-US"/>
        </w:rPr>
        <w:t>x</w:t>
      </w:r>
      <w:r w:rsidRPr="003568F0">
        <w:rPr>
          <w:sz w:val="24"/>
          <w:lang w:val="en-US"/>
        </w:rPr>
        <w:t xml:space="preserve"> with the water present on the atmosphere to produce nitric acid, producing the deposition of acid in the biosphere. The interaction of ozone generated at the ground level with sunlight, NOx and VOCs lead to the photochemical smog phenomenon. The primary anthropogenic NOx source in the cities comes from the local traffic, mainly by the exponential increase of the diesel engines </w:t>
      </w:r>
      <w:r w:rsidRPr="003568F0">
        <w:rPr>
          <w:noProof/>
          <w:sz w:val="24"/>
          <w:lang w:val="en-US"/>
        </w:rPr>
        <w:t>(Hüsken et al. 2009)</w:t>
      </w:r>
      <w:r w:rsidRPr="003568F0">
        <w:rPr>
          <w:sz w:val="24"/>
          <w:lang w:val="en-US"/>
        </w:rPr>
        <w:t xml:space="preserve">. Thus, the development of </w:t>
      </w:r>
      <w:r w:rsidR="009F54D5" w:rsidRPr="003568F0">
        <w:rPr>
          <w:sz w:val="24"/>
          <w:lang w:val="en-US"/>
        </w:rPr>
        <w:t xml:space="preserve">construction materials for pollution control </w:t>
      </w:r>
      <w:r w:rsidRPr="003568F0">
        <w:rPr>
          <w:sz w:val="24"/>
          <w:lang w:val="en-US"/>
        </w:rPr>
        <w:t>able to reduce the concentration of these nitrogen oxides as passive elements is an exciting option for the pollution control at big cities. The NO</w:t>
      </w:r>
      <w:r w:rsidRPr="003568F0">
        <w:rPr>
          <w:sz w:val="24"/>
          <w:vertAlign w:val="subscript"/>
          <w:lang w:val="en-US"/>
        </w:rPr>
        <w:t>x</w:t>
      </w:r>
      <w:r w:rsidRPr="003568F0">
        <w:rPr>
          <w:sz w:val="24"/>
          <w:lang w:val="en-US"/>
        </w:rPr>
        <w:t xml:space="preserve"> and VOCs coexist in the troposphere, and then the development of materials able to decrease the concentration of these molecules simultaneously is focused on the interest of the scientific community and industry. Thus, </w:t>
      </w:r>
      <w:r w:rsidR="009F54D5" w:rsidRPr="003568F0">
        <w:rPr>
          <w:sz w:val="24"/>
          <w:lang w:val="en-US"/>
        </w:rPr>
        <w:t xml:space="preserve">municipalities and </w:t>
      </w:r>
      <w:r w:rsidRPr="003568F0">
        <w:rPr>
          <w:sz w:val="24"/>
          <w:lang w:val="en-US"/>
        </w:rPr>
        <w:t>companies</w:t>
      </w:r>
      <w:r w:rsidR="009F54D5" w:rsidRPr="003568F0">
        <w:rPr>
          <w:sz w:val="24"/>
          <w:lang w:val="en-US"/>
        </w:rPr>
        <w:t xml:space="preserve"> </w:t>
      </w:r>
      <w:r w:rsidRPr="003568F0">
        <w:rPr>
          <w:sz w:val="24"/>
          <w:lang w:val="en-US"/>
        </w:rPr>
        <w:t xml:space="preserve">are promoting the development of add-value cementitious materials </w:t>
      </w:r>
      <w:r w:rsidR="009F54D5" w:rsidRPr="003568F0">
        <w:rPr>
          <w:sz w:val="24"/>
          <w:lang w:val="en-US"/>
        </w:rPr>
        <w:t>to be applied in urban scenarios</w:t>
      </w:r>
      <w:r w:rsidRPr="003568F0">
        <w:rPr>
          <w:sz w:val="24"/>
          <w:lang w:val="en-US"/>
        </w:rPr>
        <w:t>, covering the traditional asphalts with photoactive cement</w:t>
      </w:r>
      <w:r w:rsidR="009F54D5" w:rsidRPr="003568F0">
        <w:rPr>
          <w:sz w:val="24"/>
          <w:lang w:val="en-US"/>
        </w:rPr>
        <w:t>s</w:t>
      </w:r>
      <w:r w:rsidRPr="003568F0">
        <w:rPr>
          <w:sz w:val="24"/>
          <w:lang w:val="en-US"/>
        </w:rPr>
        <w:t>.</w:t>
      </w:r>
    </w:p>
    <w:p w:rsidR="00BE422E" w:rsidRPr="003568F0" w:rsidRDefault="00BE422E" w:rsidP="00433D6D">
      <w:pPr>
        <w:pStyle w:val="TextFirstParagraph"/>
        <w:widowControl w:val="0"/>
        <w:spacing w:line="360" w:lineRule="auto"/>
        <w:ind w:firstLine="142"/>
        <w:rPr>
          <w:sz w:val="24"/>
          <w:lang w:val="en-US"/>
        </w:rPr>
      </w:pPr>
    </w:p>
    <w:p w:rsidR="00BE422E" w:rsidRPr="003568F0" w:rsidRDefault="00BE422E" w:rsidP="00433D6D">
      <w:pPr>
        <w:pStyle w:val="TextFirstParagraph"/>
        <w:widowControl w:val="0"/>
        <w:spacing w:line="360" w:lineRule="auto"/>
        <w:ind w:firstLine="142"/>
        <w:rPr>
          <w:sz w:val="24"/>
          <w:lang w:val="en-US"/>
        </w:rPr>
      </w:pPr>
      <w:r w:rsidRPr="003568F0">
        <w:rPr>
          <w:sz w:val="24"/>
          <w:lang w:val="en-US"/>
        </w:rPr>
        <w:t>Titanium dioxide is the most common semiconduc</w:t>
      </w:r>
      <w:r w:rsidR="00920EED" w:rsidRPr="003568F0">
        <w:rPr>
          <w:sz w:val="24"/>
          <w:lang w:val="en-US"/>
        </w:rPr>
        <w:t>tor used for commercial purposes.</w:t>
      </w:r>
      <w:r w:rsidRPr="003568F0">
        <w:rPr>
          <w:sz w:val="24"/>
          <w:lang w:val="en-US"/>
        </w:rPr>
        <w:t xml:space="preserve"> Self-cleaning surfaces, </w:t>
      </w:r>
      <w:r w:rsidR="009F54D5" w:rsidRPr="003568F0">
        <w:rPr>
          <w:sz w:val="24"/>
          <w:lang w:val="en-US"/>
        </w:rPr>
        <w:t xml:space="preserve">cements, </w:t>
      </w:r>
      <w:r w:rsidRPr="003568F0">
        <w:rPr>
          <w:sz w:val="24"/>
          <w:lang w:val="en-US"/>
        </w:rPr>
        <w:t>paints</w:t>
      </w:r>
      <w:r w:rsidR="00920EED" w:rsidRPr="003568F0">
        <w:rPr>
          <w:sz w:val="24"/>
          <w:lang w:val="en-US"/>
        </w:rPr>
        <w:t>,</w:t>
      </w:r>
      <w:r w:rsidRPr="003568F0">
        <w:rPr>
          <w:sz w:val="24"/>
          <w:lang w:val="en-US"/>
        </w:rPr>
        <w:t xml:space="preserve"> </w:t>
      </w:r>
      <w:r w:rsidR="009F54D5" w:rsidRPr="003568F0">
        <w:rPr>
          <w:sz w:val="24"/>
          <w:lang w:val="en-US"/>
        </w:rPr>
        <w:t xml:space="preserve">amongst others, are being </w:t>
      </w:r>
      <w:r w:rsidRPr="003568F0">
        <w:rPr>
          <w:sz w:val="24"/>
          <w:lang w:val="en-US"/>
        </w:rPr>
        <w:t>developed by the industry</w:t>
      </w:r>
      <w:r w:rsidR="009F54D5" w:rsidRPr="003568F0">
        <w:rPr>
          <w:sz w:val="24"/>
          <w:lang w:val="en-US"/>
        </w:rPr>
        <w:t>,</w:t>
      </w:r>
      <w:r w:rsidRPr="003568F0">
        <w:rPr>
          <w:sz w:val="24"/>
          <w:lang w:val="en-US"/>
        </w:rPr>
        <w:t xml:space="preserve"> taking advanced of the photocatalytic properties of the titanium oxide. The main advantages of this semiconductor have been described in several articles and mainly deals with the low price, high intrinsic photoactivity, chemical stability and low </w:t>
      </w:r>
      <w:r w:rsidRPr="003568F0">
        <w:rPr>
          <w:sz w:val="24"/>
          <w:lang w:val="en-US"/>
        </w:rPr>
        <w:lastRenderedPageBreak/>
        <w:t xml:space="preserve">toxicity </w:t>
      </w:r>
      <w:r w:rsidRPr="003568F0">
        <w:rPr>
          <w:noProof/>
          <w:sz w:val="24"/>
          <w:lang w:val="en-US"/>
        </w:rPr>
        <w:t>(Boyjoo et al. 2017)</w:t>
      </w:r>
      <w:r w:rsidRPr="003568F0">
        <w:rPr>
          <w:sz w:val="24"/>
          <w:lang w:val="en-US"/>
        </w:rPr>
        <w:t>.</w:t>
      </w:r>
    </w:p>
    <w:p w:rsidR="00BE422E" w:rsidRPr="003568F0" w:rsidRDefault="00BE422E" w:rsidP="00433D6D">
      <w:pPr>
        <w:pStyle w:val="TextFirstParagraph"/>
        <w:widowControl w:val="0"/>
        <w:spacing w:line="360" w:lineRule="auto"/>
        <w:ind w:firstLine="142"/>
        <w:rPr>
          <w:sz w:val="24"/>
        </w:rPr>
      </w:pPr>
      <w:r w:rsidRPr="003568F0">
        <w:rPr>
          <w:sz w:val="24"/>
        </w:rPr>
        <w:t>Moreover, it is compatible with most of the construction materials and can be activated by the UV fraction (around 3-5%) of the sun irradiation. The generally accepted mechanism for the elimination of nitrogen oxides via photocatalytic oxidation in oxygen vibrant atmospheres goes through the photoexcitation of the semiconductor, generally TiO</w:t>
      </w:r>
      <w:r w:rsidRPr="003568F0">
        <w:rPr>
          <w:sz w:val="24"/>
          <w:vertAlign w:val="subscript"/>
        </w:rPr>
        <w:t>2</w:t>
      </w:r>
      <w:r w:rsidRPr="003568F0">
        <w:rPr>
          <w:sz w:val="24"/>
        </w:rPr>
        <w:t xml:space="preserve">, by UV light irradiation and the formation of electrons and holes (Eq.1) </w:t>
      </w:r>
      <w:r w:rsidRPr="003568F0">
        <w:rPr>
          <w:noProof/>
          <w:sz w:val="24"/>
        </w:rPr>
        <w:t>(Fujishima et al. 2000; Lim et al. 2000)</w:t>
      </w:r>
      <w:r w:rsidRPr="003568F0">
        <w:rPr>
          <w:sz w:val="24"/>
        </w:rPr>
        <w:t>:</w:t>
      </w:r>
    </w:p>
    <w:p w:rsidR="00BE422E" w:rsidRPr="003568F0" w:rsidRDefault="00BE422E" w:rsidP="00433D6D">
      <w:pPr>
        <w:pStyle w:val="TextFirstParagraph"/>
        <w:widowControl w:val="0"/>
        <w:spacing w:line="360" w:lineRule="auto"/>
        <w:ind w:firstLine="142"/>
        <w:rPr>
          <w:sz w:val="24"/>
        </w:rPr>
      </w:pPr>
    </w:p>
    <w:p w:rsidR="00BE422E" w:rsidRPr="003568F0" w:rsidRDefault="00BE422E" w:rsidP="00433D6D">
      <w:pPr>
        <w:pStyle w:val="TextFirstParagraph"/>
        <w:widowControl w:val="0"/>
        <w:spacing w:line="360" w:lineRule="auto"/>
        <w:ind w:firstLine="142"/>
        <w:rPr>
          <w:sz w:val="24"/>
        </w:rPr>
      </w:pPr>
      <w:r w:rsidRPr="003568F0">
        <w:rPr>
          <w:sz w:val="24"/>
        </w:rPr>
        <w:t>The holes may react with hydroxyl surface groups (OH</w:t>
      </w:r>
      <w:r w:rsidRPr="003568F0">
        <w:rPr>
          <w:sz w:val="24"/>
          <w:vertAlign w:val="superscript"/>
        </w:rPr>
        <w:t>-</w:t>
      </w:r>
      <w:r w:rsidRPr="003568F0">
        <w:rPr>
          <w:sz w:val="24"/>
        </w:rPr>
        <w:t>) coming from the dissociation of water molecules leading to OH</w:t>
      </w:r>
      <w:r w:rsidRPr="003568F0">
        <w:rPr>
          <w:sz w:val="24"/>
          <w:vertAlign w:val="superscript"/>
          <w:lang w:val="en-US"/>
        </w:rPr>
        <w:t>●</w:t>
      </w:r>
      <w:r w:rsidRPr="003568F0">
        <w:rPr>
          <w:sz w:val="24"/>
        </w:rPr>
        <w:t xml:space="preserve"> radicals.</w:t>
      </w:r>
    </w:p>
    <w:p w:rsidR="00BE422E" w:rsidRPr="003568F0" w:rsidRDefault="00BE422E" w:rsidP="00433D6D">
      <w:pPr>
        <w:pStyle w:val="TextFirstParagraph"/>
        <w:widowControl w:val="0"/>
        <w:spacing w:line="360" w:lineRule="auto"/>
        <w:ind w:firstLine="142"/>
        <w:rPr>
          <w:sz w:val="24"/>
          <w:lang w:val="es-ES"/>
        </w:rPr>
      </w:pPr>
      <w:r w:rsidRPr="003568F0">
        <w:rPr>
          <w:sz w:val="24"/>
          <w:lang w:val="es-ES"/>
        </w:rPr>
        <w:t>TiO</w:t>
      </w:r>
      <w:r w:rsidRPr="003568F0">
        <w:rPr>
          <w:sz w:val="24"/>
          <w:vertAlign w:val="subscript"/>
          <w:lang w:val="es-ES"/>
        </w:rPr>
        <w:t>2</w:t>
      </w:r>
      <w:r w:rsidRPr="003568F0">
        <w:rPr>
          <w:sz w:val="24"/>
        </w:rPr>
        <w:sym w:font="Wingdings 3" w:char="F022"/>
      </w:r>
      <w:r w:rsidRPr="003568F0">
        <w:rPr>
          <w:sz w:val="24"/>
          <w:lang w:val="es-ES"/>
        </w:rPr>
        <w:t>h</w:t>
      </w:r>
      <w:r w:rsidRPr="003568F0">
        <w:rPr>
          <w:sz w:val="24"/>
          <w:vertAlign w:val="superscript"/>
          <w:lang w:val="es-ES"/>
        </w:rPr>
        <w:t>+</w:t>
      </w:r>
      <w:r w:rsidRPr="003568F0">
        <w:rPr>
          <w:sz w:val="24"/>
          <w:lang w:val="es-ES"/>
        </w:rPr>
        <w:t xml:space="preserve"> + e</w:t>
      </w:r>
      <w:r w:rsidRPr="003568F0">
        <w:rPr>
          <w:sz w:val="24"/>
          <w:vertAlign w:val="superscript"/>
          <w:lang w:val="es-ES"/>
        </w:rPr>
        <w:t>-</w:t>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t>Eq. 1</w:t>
      </w:r>
    </w:p>
    <w:p w:rsidR="00BE422E" w:rsidRPr="003568F0" w:rsidRDefault="00BE422E" w:rsidP="00433D6D">
      <w:pPr>
        <w:pStyle w:val="TextFirstParagraph"/>
        <w:widowControl w:val="0"/>
        <w:spacing w:line="360" w:lineRule="auto"/>
        <w:ind w:firstLine="142"/>
        <w:rPr>
          <w:sz w:val="24"/>
          <w:lang w:val="es-ES"/>
        </w:rPr>
      </w:pPr>
      <w:r w:rsidRPr="003568F0">
        <w:rPr>
          <w:sz w:val="24"/>
          <w:lang w:val="es-ES"/>
        </w:rPr>
        <w:t>h</w:t>
      </w:r>
      <w:r w:rsidRPr="003568F0">
        <w:rPr>
          <w:sz w:val="24"/>
          <w:vertAlign w:val="superscript"/>
          <w:lang w:val="es-ES"/>
        </w:rPr>
        <w:t>+</w:t>
      </w:r>
      <w:r w:rsidRPr="003568F0">
        <w:rPr>
          <w:sz w:val="24"/>
          <w:lang w:val="es-ES"/>
        </w:rPr>
        <w:t xml:space="preserve"> + OH</w:t>
      </w:r>
      <w:r w:rsidRPr="003568F0">
        <w:rPr>
          <w:sz w:val="24"/>
          <w:vertAlign w:val="superscript"/>
          <w:lang w:val="es-ES"/>
        </w:rPr>
        <w:t>-</w:t>
      </w:r>
      <w:r w:rsidRPr="003568F0">
        <w:rPr>
          <w:sz w:val="24"/>
        </w:rPr>
        <w:sym w:font="Wingdings 3" w:char="F022"/>
      </w:r>
      <w:r w:rsidRPr="003568F0">
        <w:rPr>
          <w:sz w:val="24"/>
          <w:lang w:val="es-ES"/>
        </w:rPr>
        <w:t>OH</w:t>
      </w:r>
      <w:r w:rsidRPr="003568F0">
        <w:rPr>
          <w:sz w:val="24"/>
          <w:vertAlign w:val="superscript"/>
          <w:lang w:val="es-ES"/>
        </w:rPr>
        <w:t>●</w:t>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t>Eq. 2</w:t>
      </w:r>
    </w:p>
    <w:p w:rsidR="00BE422E" w:rsidRPr="003568F0" w:rsidRDefault="00BE422E" w:rsidP="00433D6D">
      <w:pPr>
        <w:pStyle w:val="TextFirstParagraph"/>
        <w:widowControl w:val="0"/>
        <w:spacing w:line="360" w:lineRule="auto"/>
        <w:ind w:firstLine="142"/>
        <w:rPr>
          <w:sz w:val="24"/>
          <w:lang w:val="es-ES"/>
        </w:rPr>
      </w:pPr>
      <w:r w:rsidRPr="003568F0">
        <w:rPr>
          <w:sz w:val="24"/>
          <w:lang w:val="es-ES"/>
        </w:rPr>
        <w:t>e</w:t>
      </w:r>
      <w:r w:rsidRPr="003568F0">
        <w:rPr>
          <w:sz w:val="24"/>
          <w:vertAlign w:val="superscript"/>
          <w:lang w:val="es-ES"/>
        </w:rPr>
        <w:t>-</w:t>
      </w:r>
      <w:r w:rsidRPr="003568F0">
        <w:rPr>
          <w:sz w:val="24"/>
          <w:lang w:val="es-ES"/>
        </w:rPr>
        <w:t xml:space="preserve"> + O</w:t>
      </w:r>
      <w:r w:rsidRPr="003568F0">
        <w:rPr>
          <w:sz w:val="24"/>
          <w:vertAlign w:val="subscript"/>
          <w:lang w:val="es-ES"/>
        </w:rPr>
        <w:t>2</w:t>
      </w:r>
      <w:r w:rsidRPr="003568F0">
        <w:rPr>
          <w:sz w:val="24"/>
        </w:rPr>
        <w:sym w:font="Wingdings 3" w:char="F022"/>
      </w:r>
      <w:r w:rsidRPr="003568F0">
        <w:rPr>
          <w:sz w:val="24"/>
          <w:lang w:val="es-ES"/>
        </w:rPr>
        <w:t xml:space="preserve"> O</w:t>
      </w:r>
      <w:r w:rsidRPr="003568F0">
        <w:rPr>
          <w:sz w:val="24"/>
          <w:vertAlign w:val="subscript"/>
          <w:lang w:val="es-ES"/>
        </w:rPr>
        <w:t>2</w:t>
      </w:r>
      <w:r w:rsidRPr="003568F0">
        <w:rPr>
          <w:sz w:val="24"/>
          <w:vertAlign w:val="superscript"/>
          <w:lang w:val="es-ES"/>
        </w:rPr>
        <w:t>●-</w:t>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t>Eq. 3</w:t>
      </w:r>
    </w:p>
    <w:p w:rsidR="00BE422E" w:rsidRPr="003568F0" w:rsidRDefault="00BE422E" w:rsidP="00433D6D">
      <w:pPr>
        <w:pStyle w:val="TextFirstParagraph"/>
        <w:widowControl w:val="0"/>
        <w:spacing w:line="360" w:lineRule="auto"/>
        <w:ind w:firstLine="142"/>
        <w:rPr>
          <w:sz w:val="24"/>
          <w:lang w:val="es-ES"/>
        </w:rPr>
      </w:pPr>
      <w:r w:rsidRPr="003568F0">
        <w:rPr>
          <w:sz w:val="24"/>
          <w:lang w:val="es-ES"/>
        </w:rPr>
        <w:t>O</w:t>
      </w:r>
      <w:r w:rsidRPr="003568F0">
        <w:rPr>
          <w:sz w:val="24"/>
          <w:vertAlign w:val="subscript"/>
          <w:lang w:val="es-ES"/>
        </w:rPr>
        <w:t>2</w:t>
      </w:r>
      <w:r w:rsidRPr="003568F0">
        <w:rPr>
          <w:sz w:val="24"/>
          <w:vertAlign w:val="superscript"/>
          <w:lang w:val="es-ES"/>
        </w:rPr>
        <w:t>-</w:t>
      </w:r>
      <w:r w:rsidRPr="003568F0">
        <w:rPr>
          <w:sz w:val="24"/>
          <w:lang w:val="es-ES"/>
        </w:rPr>
        <w:t>+H</w:t>
      </w:r>
      <w:r w:rsidRPr="003568F0">
        <w:rPr>
          <w:sz w:val="24"/>
          <w:vertAlign w:val="superscript"/>
          <w:lang w:val="es-ES"/>
        </w:rPr>
        <w:t>+</w:t>
      </w:r>
      <w:r w:rsidRPr="003568F0">
        <w:rPr>
          <w:sz w:val="24"/>
        </w:rPr>
        <w:sym w:font="Wingdings 3" w:char="F022"/>
      </w:r>
      <w:r w:rsidRPr="003568F0">
        <w:rPr>
          <w:sz w:val="24"/>
          <w:lang w:val="es-ES"/>
        </w:rPr>
        <w:t>HO</w:t>
      </w:r>
      <w:r w:rsidRPr="003568F0">
        <w:rPr>
          <w:sz w:val="24"/>
          <w:vertAlign w:val="subscript"/>
          <w:lang w:val="es-ES"/>
        </w:rPr>
        <w:t>2</w:t>
      </w:r>
      <w:r w:rsidRPr="003568F0">
        <w:rPr>
          <w:sz w:val="24"/>
          <w:vertAlign w:val="superscript"/>
          <w:lang w:val="es-ES"/>
        </w:rPr>
        <w:t>●</w:t>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t>Eq. 4</w:t>
      </w:r>
    </w:p>
    <w:p w:rsidR="00BE422E" w:rsidRPr="003568F0" w:rsidRDefault="00BE422E" w:rsidP="00433D6D">
      <w:pPr>
        <w:pStyle w:val="TextFirstParagraph"/>
        <w:widowControl w:val="0"/>
        <w:spacing w:line="360" w:lineRule="auto"/>
        <w:ind w:firstLine="142"/>
        <w:rPr>
          <w:sz w:val="24"/>
          <w:lang w:val="es-ES"/>
        </w:rPr>
      </w:pPr>
      <w:r w:rsidRPr="003568F0">
        <w:rPr>
          <w:sz w:val="24"/>
          <w:lang w:val="es-ES"/>
        </w:rPr>
        <w:t>NO+ (OH</w:t>
      </w:r>
      <w:r w:rsidRPr="003568F0">
        <w:rPr>
          <w:sz w:val="24"/>
          <w:vertAlign w:val="superscript"/>
          <w:lang w:val="es-ES"/>
        </w:rPr>
        <w:t>●</w:t>
      </w:r>
      <w:r w:rsidRPr="003568F0">
        <w:rPr>
          <w:sz w:val="24"/>
          <w:lang w:val="es-ES"/>
        </w:rPr>
        <w:t>, HO</w:t>
      </w:r>
      <w:r w:rsidRPr="003568F0">
        <w:rPr>
          <w:sz w:val="24"/>
          <w:vertAlign w:val="subscript"/>
          <w:lang w:val="es-ES"/>
        </w:rPr>
        <w:t>2</w:t>
      </w:r>
      <w:r w:rsidRPr="003568F0">
        <w:rPr>
          <w:sz w:val="24"/>
          <w:vertAlign w:val="superscript"/>
          <w:lang w:val="es-ES"/>
        </w:rPr>
        <w:t>●</w:t>
      </w:r>
      <w:r w:rsidRPr="003568F0">
        <w:rPr>
          <w:sz w:val="24"/>
          <w:lang w:val="es-ES"/>
        </w:rPr>
        <w:t xml:space="preserve">, etc) </w:t>
      </w:r>
      <w:r w:rsidRPr="003568F0">
        <w:rPr>
          <w:sz w:val="24"/>
        </w:rPr>
        <w:sym w:font="Wingdings 3" w:char="F022"/>
      </w:r>
      <w:r w:rsidRPr="003568F0">
        <w:rPr>
          <w:sz w:val="24"/>
          <w:lang w:val="es-ES"/>
        </w:rPr>
        <w:t>NO</w:t>
      </w:r>
      <w:r w:rsidRPr="003568F0">
        <w:rPr>
          <w:sz w:val="24"/>
          <w:vertAlign w:val="subscript"/>
          <w:lang w:val="es-ES"/>
        </w:rPr>
        <w:t xml:space="preserve">2 </w:t>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t>Eq. 5</w:t>
      </w:r>
    </w:p>
    <w:p w:rsidR="00BE422E" w:rsidRPr="003568F0" w:rsidRDefault="00BE422E" w:rsidP="00433D6D">
      <w:pPr>
        <w:pStyle w:val="TextFirstParagraph"/>
        <w:widowControl w:val="0"/>
        <w:spacing w:line="360" w:lineRule="auto"/>
        <w:ind w:firstLine="142"/>
        <w:rPr>
          <w:sz w:val="24"/>
          <w:lang w:val="es-ES"/>
        </w:rPr>
      </w:pPr>
      <w:r w:rsidRPr="003568F0">
        <w:rPr>
          <w:sz w:val="24"/>
          <w:lang w:val="es-ES"/>
        </w:rPr>
        <w:t>NO</w:t>
      </w:r>
      <w:r w:rsidRPr="003568F0">
        <w:rPr>
          <w:sz w:val="24"/>
          <w:vertAlign w:val="subscript"/>
          <w:lang w:val="es-ES"/>
        </w:rPr>
        <w:t>2</w:t>
      </w:r>
      <w:r w:rsidRPr="003568F0">
        <w:rPr>
          <w:sz w:val="24"/>
          <w:lang w:val="es-ES"/>
        </w:rPr>
        <w:t xml:space="preserve"> + (OH</w:t>
      </w:r>
      <w:r w:rsidRPr="003568F0">
        <w:rPr>
          <w:sz w:val="24"/>
          <w:vertAlign w:val="superscript"/>
          <w:lang w:val="es-ES"/>
        </w:rPr>
        <w:t>●</w:t>
      </w:r>
      <w:r w:rsidRPr="003568F0">
        <w:rPr>
          <w:sz w:val="24"/>
          <w:lang w:val="es-ES"/>
        </w:rPr>
        <w:t>, HO</w:t>
      </w:r>
      <w:r w:rsidRPr="003568F0">
        <w:rPr>
          <w:sz w:val="24"/>
          <w:vertAlign w:val="subscript"/>
          <w:lang w:val="es-ES"/>
        </w:rPr>
        <w:t>2</w:t>
      </w:r>
      <w:r w:rsidRPr="003568F0">
        <w:rPr>
          <w:sz w:val="24"/>
          <w:vertAlign w:val="superscript"/>
          <w:lang w:val="es-ES"/>
        </w:rPr>
        <w:t>●</w:t>
      </w:r>
      <w:r w:rsidRPr="003568F0">
        <w:rPr>
          <w:sz w:val="24"/>
          <w:lang w:val="es-ES"/>
        </w:rPr>
        <w:t xml:space="preserve">, etc) </w:t>
      </w:r>
      <w:r w:rsidRPr="003568F0">
        <w:rPr>
          <w:sz w:val="24"/>
        </w:rPr>
        <w:sym w:font="Wingdings 3" w:char="F022"/>
      </w:r>
      <w:r w:rsidRPr="003568F0">
        <w:rPr>
          <w:sz w:val="24"/>
          <w:lang w:val="es-ES"/>
        </w:rPr>
        <w:t>NO</w:t>
      </w:r>
      <w:r w:rsidRPr="003568F0">
        <w:rPr>
          <w:sz w:val="24"/>
          <w:vertAlign w:val="subscript"/>
          <w:lang w:val="es-ES"/>
        </w:rPr>
        <w:t>3(ads)</w:t>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t>Eq. 6</w:t>
      </w:r>
    </w:p>
    <w:p w:rsidR="00BE422E" w:rsidRPr="003568F0" w:rsidRDefault="00BE422E" w:rsidP="00433D6D">
      <w:pPr>
        <w:pStyle w:val="TextFirstParagraph"/>
        <w:widowControl w:val="0"/>
        <w:spacing w:line="360" w:lineRule="auto"/>
        <w:ind w:firstLine="142"/>
        <w:rPr>
          <w:sz w:val="24"/>
          <w:lang w:val="es-ES"/>
        </w:rPr>
      </w:pPr>
      <w:r w:rsidRPr="003568F0">
        <w:rPr>
          <w:sz w:val="24"/>
          <w:lang w:val="es-ES"/>
        </w:rPr>
        <w:t>NO</w:t>
      </w:r>
      <w:r w:rsidRPr="003568F0">
        <w:rPr>
          <w:sz w:val="24"/>
          <w:vertAlign w:val="subscript"/>
          <w:lang w:val="es-ES"/>
        </w:rPr>
        <w:t>3(ads)</w:t>
      </w:r>
      <w:r w:rsidRPr="003568F0">
        <w:rPr>
          <w:sz w:val="24"/>
          <w:lang w:val="es-ES"/>
        </w:rPr>
        <w:t>+ H</w:t>
      </w:r>
      <w:r w:rsidRPr="003568F0">
        <w:rPr>
          <w:sz w:val="24"/>
          <w:vertAlign w:val="subscript"/>
          <w:lang w:val="es-ES"/>
        </w:rPr>
        <w:t>2</w:t>
      </w:r>
      <w:r w:rsidRPr="003568F0">
        <w:rPr>
          <w:sz w:val="24"/>
          <w:lang w:val="es-ES"/>
        </w:rPr>
        <w:t>O</w:t>
      </w:r>
      <w:r w:rsidRPr="003568F0">
        <w:rPr>
          <w:sz w:val="24"/>
        </w:rPr>
        <w:sym w:font="Wingdings 3" w:char="F022"/>
      </w:r>
      <w:r w:rsidRPr="003568F0">
        <w:rPr>
          <w:sz w:val="24"/>
          <w:lang w:val="es-ES"/>
        </w:rPr>
        <w:t xml:space="preserve"> HNO</w:t>
      </w:r>
      <w:r w:rsidRPr="003568F0">
        <w:rPr>
          <w:sz w:val="24"/>
          <w:vertAlign w:val="subscript"/>
          <w:lang w:val="es-ES"/>
        </w:rPr>
        <w:t>3</w:t>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r>
      <w:r w:rsidRPr="003568F0">
        <w:rPr>
          <w:sz w:val="24"/>
          <w:lang w:val="es-ES"/>
        </w:rPr>
        <w:tab/>
        <w:t>Eq. 7</w:t>
      </w:r>
    </w:p>
    <w:p w:rsidR="00BE422E" w:rsidRPr="003568F0" w:rsidRDefault="00BE422E" w:rsidP="00433D6D">
      <w:pPr>
        <w:pStyle w:val="TextFirstParagraph"/>
        <w:widowControl w:val="0"/>
        <w:spacing w:line="360" w:lineRule="auto"/>
        <w:ind w:firstLine="142"/>
        <w:rPr>
          <w:sz w:val="24"/>
          <w:lang w:val="es-ES"/>
        </w:rPr>
      </w:pPr>
      <w:r w:rsidRPr="003568F0">
        <w:rPr>
          <w:sz w:val="24"/>
          <w:lang w:val="es-ES"/>
        </w:rPr>
        <w:tab/>
      </w:r>
    </w:p>
    <w:p w:rsidR="00BE422E" w:rsidRPr="003568F0" w:rsidRDefault="00BE422E" w:rsidP="00433D6D">
      <w:pPr>
        <w:pStyle w:val="TextFirstParagraph"/>
        <w:widowControl w:val="0"/>
        <w:spacing w:line="360" w:lineRule="auto"/>
        <w:ind w:firstLine="142"/>
        <w:rPr>
          <w:sz w:val="24"/>
        </w:rPr>
      </w:pPr>
      <w:r w:rsidRPr="003568F0">
        <w:rPr>
          <w:sz w:val="24"/>
        </w:rPr>
        <w:t>On the other side, electrons may react with molecular oxygen to produce O</w:t>
      </w:r>
      <w:r w:rsidRPr="003568F0">
        <w:rPr>
          <w:sz w:val="24"/>
          <w:vertAlign w:val="subscript"/>
        </w:rPr>
        <w:t>2</w:t>
      </w:r>
      <w:r w:rsidRPr="003568F0">
        <w:rPr>
          <w:sz w:val="24"/>
          <w:vertAlign w:val="superscript"/>
          <w:lang w:val="en-US"/>
        </w:rPr>
        <w:t>●</w:t>
      </w:r>
      <w:r w:rsidRPr="003568F0">
        <w:rPr>
          <w:sz w:val="24"/>
          <w:vertAlign w:val="superscript"/>
        </w:rPr>
        <w:t xml:space="preserve">- </w:t>
      </w:r>
      <w:r w:rsidRPr="003568F0">
        <w:rPr>
          <w:sz w:val="24"/>
        </w:rPr>
        <w:t>superoxide anions species (Eq. 3), that can further react with H</w:t>
      </w:r>
      <w:r w:rsidRPr="003568F0">
        <w:rPr>
          <w:sz w:val="24"/>
          <w:vertAlign w:val="superscript"/>
        </w:rPr>
        <w:t>+</w:t>
      </w:r>
      <w:r w:rsidRPr="003568F0">
        <w:rPr>
          <w:sz w:val="24"/>
        </w:rPr>
        <w:t xml:space="preserve"> to produce HO</w:t>
      </w:r>
      <w:r w:rsidRPr="003568F0">
        <w:rPr>
          <w:sz w:val="24"/>
          <w:vertAlign w:val="subscript"/>
        </w:rPr>
        <w:t>2</w:t>
      </w:r>
      <w:r w:rsidRPr="003568F0">
        <w:rPr>
          <w:sz w:val="24"/>
          <w:vertAlign w:val="superscript"/>
          <w:lang w:val="en-US"/>
        </w:rPr>
        <w:t>●</w:t>
      </w:r>
      <w:r w:rsidRPr="003568F0">
        <w:rPr>
          <w:sz w:val="24"/>
        </w:rPr>
        <w:t xml:space="preserve"> or other oxidising species such as HO</w:t>
      </w:r>
      <w:r w:rsidRPr="003568F0">
        <w:rPr>
          <w:sz w:val="24"/>
          <w:vertAlign w:val="subscript"/>
        </w:rPr>
        <w:t>2</w:t>
      </w:r>
      <w:r w:rsidRPr="003568F0">
        <w:rPr>
          <w:sz w:val="24"/>
          <w:vertAlign w:val="superscript"/>
        </w:rPr>
        <w:t>-</w:t>
      </w:r>
      <w:r w:rsidRPr="003568F0">
        <w:rPr>
          <w:sz w:val="24"/>
        </w:rPr>
        <w:t>, H</w:t>
      </w:r>
      <w:r w:rsidRPr="003568F0">
        <w:rPr>
          <w:sz w:val="24"/>
          <w:vertAlign w:val="subscript"/>
        </w:rPr>
        <w:t>2</w:t>
      </w:r>
      <w:r w:rsidRPr="003568F0">
        <w:rPr>
          <w:sz w:val="24"/>
        </w:rPr>
        <w:t>O</w:t>
      </w:r>
      <w:r w:rsidRPr="003568F0">
        <w:rPr>
          <w:sz w:val="24"/>
          <w:vertAlign w:val="subscript"/>
        </w:rPr>
        <w:t>2</w:t>
      </w:r>
      <w:r w:rsidRPr="003568F0">
        <w:rPr>
          <w:sz w:val="24"/>
        </w:rPr>
        <w:t xml:space="preserve"> or even OH</w:t>
      </w:r>
      <w:r w:rsidRPr="003568F0">
        <w:rPr>
          <w:sz w:val="24"/>
          <w:vertAlign w:val="superscript"/>
          <w:lang w:val="en-US"/>
        </w:rPr>
        <w:t>●</w:t>
      </w:r>
      <w:r w:rsidRPr="003568F0">
        <w:rPr>
          <w:sz w:val="24"/>
        </w:rPr>
        <w:t xml:space="preserve"> radicals (Eq. 4). Then the nitric oxide molecule is oxidised by the powerful oxidising radicals to produce NO</w:t>
      </w:r>
      <w:r w:rsidRPr="003568F0">
        <w:rPr>
          <w:sz w:val="24"/>
          <w:vertAlign w:val="subscript"/>
        </w:rPr>
        <w:t xml:space="preserve">3 </w:t>
      </w:r>
      <w:r w:rsidRPr="003568F0">
        <w:rPr>
          <w:sz w:val="24"/>
        </w:rPr>
        <w:t>species adsorbed on the surface (Eq. 5, Eq. 6) that in the presence of water is transformed into nitric acid (Eq. 7).</w:t>
      </w:r>
    </w:p>
    <w:p w:rsidR="00BE422E" w:rsidRPr="003568F0" w:rsidRDefault="00BE422E" w:rsidP="00433D6D">
      <w:pPr>
        <w:pStyle w:val="TextFirstParagraph"/>
        <w:widowControl w:val="0"/>
        <w:spacing w:line="360" w:lineRule="auto"/>
        <w:ind w:firstLine="142"/>
        <w:rPr>
          <w:sz w:val="24"/>
        </w:rPr>
      </w:pPr>
    </w:p>
    <w:p w:rsidR="00BE422E" w:rsidRPr="003568F0" w:rsidRDefault="00BE422E" w:rsidP="00433D6D">
      <w:pPr>
        <w:pStyle w:val="TextFirstParagraph"/>
        <w:widowControl w:val="0"/>
        <w:spacing w:line="360" w:lineRule="auto"/>
        <w:ind w:firstLine="142"/>
        <w:rPr>
          <w:sz w:val="24"/>
        </w:rPr>
      </w:pPr>
      <w:r w:rsidRPr="003568F0">
        <w:rPr>
          <w:sz w:val="24"/>
        </w:rPr>
        <w:t>The objective of the present study was to determine the most suitable cementitious based material for the production of photocatalytic asphalts at real scale, efficient for the degradation of both volatile organic compounds and nitrogen oxides. Two commercial photoactive types of cement were selected and characterised by XRD, SEM-EDX, thermogravimetry, N</w:t>
      </w:r>
      <w:r w:rsidRPr="003568F0">
        <w:rPr>
          <w:sz w:val="24"/>
          <w:vertAlign w:val="subscript"/>
        </w:rPr>
        <w:t>2</w:t>
      </w:r>
      <w:r w:rsidRPr="003568F0">
        <w:rPr>
          <w:sz w:val="24"/>
        </w:rPr>
        <w:t xml:space="preserve"> adsorption-desorption, analysing the modification of the hydrophobic-hydrophilic character with time. Both the TiO</w:t>
      </w:r>
      <w:r w:rsidRPr="003568F0">
        <w:rPr>
          <w:sz w:val="24"/>
          <w:vertAlign w:val="subscript"/>
        </w:rPr>
        <w:t>2</w:t>
      </w:r>
      <w:r w:rsidRPr="003568F0">
        <w:rPr>
          <w:sz w:val="24"/>
        </w:rPr>
        <w:t>-based materials, powder samples themselves and the asphalt test tubes covered by a cementitious layer were tested at laboratory scale under UV-A irradiation and the operating conditions described at</w:t>
      </w:r>
      <w:r w:rsidR="008934F7" w:rsidRPr="003568F0">
        <w:rPr>
          <w:sz w:val="24"/>
        </w:rPr>
        <w:t xml:space="preserve"> ISO 22197-1:2007</w:t>
      </w:r>
      <w:r w:rsidRPr="003568F0">
        <w:rPr>
          <w:sz w:val="24"/>
        </w:rPr>
        <w:t xml:space="preserve">. The materials were tested during several photocatalytic cycles, </w:t>
      </w:r>
      <w:r w:rsidRPr="003568F0">
        <w:rPr>
          <w:sz w:val="24"/>
        </w:rPr>
        <w:lastRenderedPageBreak/>
        <w:t xml:space="preserve">for more than 1,500 min, under different concentration of pollutant and catalysts amount. The effect of an initial conditioning step and the nature of the substrate were further analysed. </w:t>
      </w:r>
    </w:p>
    <w:p w:rsidR="00BE422E" w:rsidRPr="003568F0" w:rsidRDefault="00BE422E" w:rsidP="00433D6D">
      <w:pPr>
        <w:pStyle w:val="TextFirstParagraph"/>
        <w:widowControl w:val="0"/>
        <w:spacing w:line="360" w:lineRule="auto"/>
        <w:ind w:firstLine="142"/>
        <w:rPr>
          <w:sz w:val="24"/>
        </w:rPr>
      </w:pPr>
    </w:p>
    <w:p w:rsidR="00BE422E" w:rsidRPr="003568F0" w:rsidRDefault="00BE422E" w:rsidP="00433D6D">
      <w:pPr>
        <w:pStyle w:val="TextFirstParagraph"/>
        <w:widowControl w:val="0"/>
        <w:spacing w:line="360" w:lineRule="auto"/>
        <w:rPr>
          <w:b/>
        </w:rPr>
      </w:pPr>
      <w:r w:rsidRPr="003568F0">
        <w:rPr>
          <w:b/>
        </w:rPr>
        <w:t>Experimental Section</w:t>
      </w:r>
    </w:p>
    <w:p w:rsidR="00BE422E" w:rsidRPr="003568F0" w:rsidRDefault="00BE422E" w:rsidP="00433D6D">
      <w:pPr>
        <w:spacing w:line="360" w:lineRule="auto"/>
        <w:jc w:val="both"/>
        <w:rPr>
          <w:b/>
        </w:rPr>
      </w:pPr>
    </w:p>
    <w:p w:rsidR="00BE422E" w:rsidRPr="003568F0" w:rsidRDefault="00BE422E" w:rsidP="00433D6D">
      <w:pPr>
        <w:spacing w:line="360" w:lineRule="auto"/>
        <w:jc w:val="both"/>
        <w:rPr>
          <w:i/>
        </w:rPr>
      </w:pPr>
      <w:r w:rsidRPr="003568F0">
        <w:rPr>
          <w:i/>
        </w:rPr>
        <w:t>Sample preparation</w:t>
      </w:r>
    </w:p>
    <w:p w:rsidR="00BE422E" w:rsidRPr="003568F0" w:rsidRDefault="00D46837" w:rsidP="00433D6D">
      <w:pPr>
        <w:pStyle w:val="TextFirstParagraph"/>
        <w:widowControl w:val="0"/>
        <w:spacing w:line="360" w:lineRule="auto"/>
        <w:ind w:firstLine="142"/>
        <w:rPr>
          <w:sz w:val="24"/>
        </w:rPr>
      </w:pPr>
      <w:r w:rsidRPr="003568F0">
        <w:rPr>
          <w:sz w:val="24"/>
        </w:rPr>
        <w:t>Two commercial cementitious based materials supplied by Global Engineering named as CEM-Ti-A and CEM-Ti-B were studied (Table 1). The benchmark TiO</w:t>
      </w:r>
      <w:r w:rsidRPr="003568F0">
        <w:rPr>
          <w:sz w:val="24"/>
          <w:vertAlign w:val="subscript"/>
        </w:rPr>
        <w:t>2</w:t>
      </w:r>
      <w:r w:rsidRPr="003568F0">
        <w:rPr>
          <w:sz w:val="24"/>
        </w:rPr>
        <w:t xml:space="preserve"> P25 was also studied for comparison purposes. </w:t>
      </w:r>
      <w:r w:rsidR="00BE422E" w:rsidRPr="003568F0">
        <w:rPr>
          <w:sz w:val="24"/>
        </w:rPr>
        <w:t>COMSA</w:t>
      </w:r>
      <w:r w:rsidR="00920EED" w:rsidRPr="003568F0">
        <w:rPr>
          <w:sz w:val="24"/>
        </w:rPr>
        <w:t>-</w:t>
      </w:r>
      <w:r w:rsidR="00BE422E" w:rsidRPr="003568F0">
        <w:rPr>
          <w:sz w:val="24"/>
        </w:rPr>
        <w:t>EMTE provide</w:t>
      </w:r>
      <w:r w:rsidRPr="003568F0">
        <w:rPr>
          <w:sz w:val="24"/>
        </w:rPr>
        <w:t>s</w:t>
      </w:r>
      <w:r w:rsidR="00BE422E" w:rsidRPr="003568F0">
        <w:rPr>
          <w:sz w:val="24"/>
        </w:rPr>
        <w:t xml:space="preserve"> </w:t>
      </w:r>
      <w:r w:rsidR="0065458E" w:rsidRPr="003568F0">
        <w:rPr>
          <w:sz w:val="24"/>
        </w:rPr>
        <w:t xml:space="preserve">asphalt plates with </w:t>
      </w:r>
      <w:r w:rsidRPr="003568F0">
        <w:rPr>
          <w:sz w:val="24"/>
        </w:rPr>
        <w:t xml:space="preserve">the </w:t>
      </w:r>
      <w:r w:rsidR="00BE422E" w:rsidRPr="003568F0">
        <w:rPr>
          <w:sz w:val="24"/>
        </w:rPr>
        <w:t>two types of cementitious materials (</w:t>
      </w:r>
      <w:r w:rsidR="00170B0A" w:rsidRPr="003568F0">
        <w:rPr>
          <w:sz w:val="24"/>
        </w:rPr>
        <w:t>2.</w:t>
      </w:r>
      <w:r w:rsidR="0065458E" w:rsidRPr="003568F0">
        <w:rPr>
          <w:sz w:val="24"/>
        </w:rPr>
        <w:t>7</w:t>
      </w:r>
      <w:r w:rsidR="00170B0A" w:rsidRPr="003568F0">
        <w:rPr>
          <w:sz w:val="24"/>
        </w:rPr>
        <w:t xml:space="preserve"> cm width </w:t>
      </w:r>
      <w:r w:rsidR="00300C17" w:rsidRPr="003568F0">
        <w:rPr>
          <w:sz w:val="24"/>
        </w:rPr>
        <w:t xml:space="preserve">x </w:t>
      </w:r>
      <w:r w:rsidR="0065458E" w:rsidRPr="003568F0">
        <w:rPr>
          <w:sz w:val="24"/>
        </w:rPr>
        <w:t>8.0</w:t>
      </w:r>
      <w:r w:rsidR="00BE422E" w:rsidRPr="003568F0">
        <w:rPr>
          <w:sz w:val="24"/>
        </w:rPr>
        <w:t xml:space="preserve"> cm </w:t>
      </w:r>
      <w:r w:rsidR="00300C17" w:rsidRPr="003568F0">
        <w:rPr>
          <w:sz w:val="24"/>
        </w:rPr>
        <w:t>length</w:t>
      </w:r>
      <w:r w:rsidRPr="003568F0">
        <w:rPr>
          <w:sz w:val="24"/>
        </w:rPr>
        <w:t xml:space="preserve"> and 4 kg m</w:t>
      </w:r>
      <w:r w:rsidRPr="003568F0">
        <w:rPr>
          <w:sz w:val="24"/>
          <w:vertAlign w:val="superscript"/>
        </w:rPr>
        <w:t>-2</w:t>
      </w:r>
      <w:r w:rsidR="00BE422E" w:rsidRPr="003568F0">
        <w:rPr>
          <w:sz w:val="24"/>
        </w:rPr>
        <w:t xml:space="preserve">). </w:t>
      </w:r>
      <w:r w:rsidR="009F54D5" w:rsidRPr="003568F0">
        <w:rPr>
          <w:sz w:val="24"/>
        </w:rPr>
        <w:t>Cementitious</w:t>
      </w:r>
      <w:r w:rsidR="00C96255" w:rsidRPr="003568F0">
        <w:rPr>
          <w:sz w:val="24"/>
        </w:rPr>
        <w:t xml:space="preserve"> materials or</w:t>
      </w:r>
      <w:r w:rsidR="009F54D5" w:rsidRPr="003568F0">
        <w:rPr>
          <w:sz w:val="24"/>
        </w:rPr>
        <w:t xml:space="preserve"> TiO</w:t>
      </w:r>
      <w:r w:rsidR="009F54D5" w:rsidRPr="003568F0">
        <w:rPr>
          <w:sz w:val="24"/>
          <w:vertAlign w:val="subscript"/>
        </w:rPr>
        <w:t>2</w:t>
      </w:r>
      <w:r w:rsidR="009F54D5" w:rsidRPr="003568F0">
        <w:rPr>
          <w:sz w:val="24"/>
        </w:rPr>
        <w:t xml:space="preserve"> P25 powers were </w:t>
      </w:r>
      <w:r w:rsidR="00D55F34" w:rsidRPr="003568F0">
        <w:rPr>
          <w:sz w:val="24"/>
        </w:rPr>
        <w:t xml:space="preserve">immobilised </w:t>
      </w:r>
      <w:r w:rsidR="009F54D5" w:rsidRPr="003568F0">
        <w:rPr>
          <w:sz w:val="24"/>
        </w:rPr>
        <w:t xml:space="preserve">on </w:t>
      </w:r>
      <w:r w:rsidR="006B65B2" w:rsidRPr="003568F0">
        <w:rPr>
          <w:sz w:val="24"/>
        </w:rPr>
        <w:t xml:space="preserve">inert </w:t>
      </w:r>
      <w:r w:rsidR="009F54D5" w:rsidRPr="003568F0">
        <w:rPr>
          <w:sz w:val="24"/>
        </w:rPr>
        <w:t>borosilicate glass slides (</w:t>
      </w:r>
      <w:r w:rsidR="0065458E" w:rsidRPr="003568F0">
        <w:rPr>
          <w:sz w:val="24"/>
        </w:rPr>
        <w:t>19 cm</w:t>
      </w:r>
      <w:r w:rsidR="0065458E" w:rsidRPr="003568F0">
        <w:rPr>
          <w:sz w:val="24"/>
          <w:vertAlign w:val="superscript"/>
        </w:rPr>
        <w:t>2</w:t>
      </w:r>
      <w:r w:rsidR="009F54D5" w:rsidRPr="003568F0">
        <w:rPr>
          <w:sz w:val="24"/>
        </w:rPr>
        <w:t xml:space="preserve">). In order to prepare these samples, the </w:t>
      </w:r>
      <w:r w:rsidR="006B65B2" w:rsidRPr="003568F0">
        <w:rPr>
          <w:sz w:val="24"/>
        </w:rPr>
        <w:t xml:space="preserve">desired </w:t>
      </w:r>
      <w:r w:rsidR="009F54D5" w:rsidRPr="003568F0">
        <w:rPr>
          <w:sz w:val="24"/>
        </w:rPr>
        <w:t>TiO</w:t>
      </w:r>
      <w:r w:rsidR="009F54D5" w:rsidRPr="003568F0">
        <w:rPr>
          <w:sz w:val="24"/>
          <w:vertAlign w:val="subscript"/>
        </w:rPr>
        <w:t>2</w:t>
      </w:r>
      <w:r w:rsidR="009F54D5" w:rsidRPr="003568F0">
        <w:rPr>
          <w:sz w:val="24"/>
        </w:rPr>
        <w:t xml:space="preserve"> amount was </w:t>
      </w:r>
      <w:r w:rsidR="00D55F34" w:rsidRPr="003568F0">
        <w:rPr>
          <w:sz w:val="24"/>
        </w:rPr>
        <w:t>attempt</w:t>
      </w:r>
      <w:r w:rsidR="0065458E" w:rsidRPr="003568F0">
        <w:rPr>
          <w:sz w:val="24"/>
        </w:rPr>
        <w:t>ed</w:t>
      </w:r>
      <w:r w:rsidR="00D55F34" w:rsidRPr="003568F0">
        <w:rPr>
          <w:sz w:val="24"/>
        </w:rPr>
        <w:t xml:space="preserve"> to </w:t>
      </w:r>
      <w:r w:rsidR="0065458E" w:rsidRPr="003568F0">
        <w:rPr>
          <w:sz w:val="24"/>
        </w:rPr>
        <w:t>keep</w:t>
      </w:r>
      <w:r w:rsidR="009F54D5" w:rsidRPr="003568F0">
        <w:rPr>
          <w:sz w:val="24"/>
        </w:rPr>
        <w:t xml:space="preserve"> </w:t>
      </w:r>
      <w:r w:rsidR="003672B2" w:rsidRPr="003568F0">
        <w:rPr>
          <w:sz w:val="24"/>
        </w:rPr>
        <w:t>to 7.</w:t>
      </w:r>
      <w:r w:rsidR="0040075B" w:rsidRPr="003568F0">
        <w:rPr>
          <w:sz w:val="24"/>
        </w:rPr>
        <w:t>0</w:t>
      </w:r>
      <w:r w:rsidR="003672B2" w:rsidRPr="003568F0">
        <w:rPr>
          <w:sz w:val="24"/>
        </w:rPr>
        <w:t xml:space="preserve"> g (TiO</w:t>
      </w:r>
      <w:r w:rsidR="003672B2" w:rsidRPr="003568F0">
        <w:rPr>
          <w:sz w:val="24"/>
          <w:vertAlign w:val="subscript"/>
        </w:rPr>
        <w:t>2</w:t>
      </w:r>
      <w:r w:rsidR="003672B2" w:rsidRPr="003568F0">
        <w:rPr>
          <w:sz w:val="24"/>
        </w:rPr>
        <w:t>) m</w:t>
      </w:r>
      <w:r w:rsidR="003672B2" w:rsidRPr="003568F0">
        <w:rPr>
          <w:sz w:val="24"/>
          <w:vertAlign w:val="superscript"/>
        </w:rPr>
        <w:t>-2</w:t>
      </w:r>
      <w:r w:rsidR="009F54D5" w:rsidRPr="003568F0">
        <w:rPr>
          <w:sz w:val="24"/>
        </w:rPr>
        <w:t xml:space="preserve">. </w:t>
      </w:r>
      <w:r w:rsidR="006B65B2" w:rsidRPr="003568F0">
        <w:rPr>
          <w:sz w:val="24"/>
        </w:rPr>
        <w:t>The minimum amount of water needed to homogeneously disperse the material on the glass surface was used.</w:t>
      </w:r>
      <w:r w:rsidR="006B65B2" w:rsidRPr="003568F0">
        <w:rPr>
          <w:rFonts w:asciiTheme="minorHAnsi" w:hAnsiTheme="minorHAnsi"/>
          <w:sz w:val="24"/>
        </w:rPr>
        <w:t xml:space="preserve"> S</w:t>
      </w:r>
      <w:r w:rsidR="006B65B2" w:rsidRPr="003568F0">
        <w:rPr>
          <w:sz w:val="24"/>
        </w:rPr>
        <w:t>amples were heated at 100ºC in order to dr</w:t>
      </w:r>
      <w:r w:rsidRPr="003568F0">
        <w:rPr>
          <w:sz w:val="24"/>
        </w:rPr>
        <w:t>y the material. Finally, samples</w:t>
      </w:r>
      <w:r w:rsidR="006B65B2" w:rsidRPr="003568F0">
        <w:rPr>
          <w:sz w:val="24"/>
        </w:rPr>
        <w:t xml:space="preserve"> were curing for 24 hours. </w:t>
      </w:r>
      <w:r w:rsidR="00920EED" w:rsidRPr="003568F0">
        <w:rPr>
          <w:sz w:val="24"/>
        </w:rPr>
        <w:t>Moreover, t</w:t>
      </w:r>
      <w:r w:rsidRPr="003568F0">
        <w:rPr>
          <w:sz w:val="24"/>
        </w:rPr>
        <w:t xml:space="preserve">o carry out the experiments according to the operating conditions reported in ISO 22197-1:2007 </w:t>
      </w:r>
      <w:r w:rsidR="009F54D5" w:rsidRPr="003568F0">
        <w:rPr>
          <w:sz w:val="24"/>
        </w:rPr>
        <w:t>s</w:t>
      </w:r>
      <w:r w:rsidR="00BE422E" w:rsidRPr="003568F0">
        <w:rPr>
          <w:sz w:val="24"/>
        </w:rPr>
        <w:t xml:space="preserve">amples </w:t>
      </w:r>
      <w:r w:rsidR="00D55F34" w:rsidRPr="003568F0">
        <w:rPr>
          <w:sz w:val="24"/>
        </w:rPr>
        <w:t xml:space="preserve">with standard dimensions </w:t>
      </w:r>
      <w:r w:rsidR="00BE422E" w:rsidRPr="003568F0">
        <w:rPr>
          <w:sz w:val="24"/>
        </w:rPr>
        <w:t xml:space="preserve">of </w:t>
      </w:r>
      <w:r w:rsidR="00FD3A1B" w:rsidRPr="003568F0">
        <w:rPr>
          <w:sz w:val="24"/>
        </w:rPr>
        <w:t>4</w:t>
      </w:r>
      <w:r w:rsidR="00BE422E" w:rsidRPr="003568F0">
        <w:rPr>
          <w:sz w:val="24"/>
        </w:rPr>
        <w:t xml:space="preserve">.9 cm x </w:t>
      </w:r>
      <w:r w:rsidR="00FD3A1B" w:rsidRPr="003568F0">
        <w:rPr>
          <w:sz w:val="24"/>
        </w:rPr>
        <w:t>9</w:t>
      </w:r>
      <w:r w:rsidR="00BE422E" w:rsidRPr="003568F0">
        <w:rPr>
          <w:sz w:val="24"/>
        </w:rPr>
        <w:t>.9 cm x 1 cm (wid</w:t>
      </w:r>
      <w:r w:rsidR="00170B0A" w:rsidRPr="003568F0">
        <w:rPr>
          <w:sz w:val="24"/>
        </w:rPr>
        <w:t>th</w:t>
      </w:r>
      <w:r w:rsidR="00BE422E" w:rsidRPr="003568F0">
        <w:rPr>
          <w:sz w:val="24"/>
        </w:rPr>
        <w:t xml:space="preserve"> x length x thickness)</w:t>
      </w:r>
      <w:r w:rsidR="006B65B2" w:rsidRPr="003568F0">
        <w:rPr>
          <w:sz w:val="24"/>
        </w:rPr>
        <w:t xml:space="preserve"> were supplied by the company</w:t>
      </w:r>
      <w:r w:rsidR="00BE422E" w:rsidRPr="003568F0">
        <w:rPr>
          <w:sz w:val="24"/>
        </w:rPr>
        <w:t>.</w:t>
      </w:r>
      <w:r w:rsidR="009F54D5" w:rsidRPr="003568F0">
        <w:rPr>
          <w:sz w:val="24"/>
        </w:rPr>
        <w:t xml:space="preserve"> </w:t>
      </w:r>
    </w:p>
    <w:p w:rsidR="00BE422E" w:rsidRPr="003568F0" w:rsidRDefault="00BE422E" w:rsidP="00433D6D">
      <w:pPr>
        <w:pStyle w:val="TextFirstParagraph"/>
        <w:widowControl w:val="0"/>
        <w:spacing w:line="360" w:lineRule="auto"/>
        <w:ind w:firstLine="142"/>
        <w:rPr>
          <w:sz w:val="24"/>
        </w:rPr>
      </w:pPr>
    </w:p>
    <w:p w:rsidR="00BE422E" w:rsidRPr="003568F0" w:rsidRDefault="00BE422E" w:rsidP="009F54D5">
      <w:pPr>
        <w:jc w:val="both"/>
      </w:pPr>
      <w:r w:rsidRPr="003568F0">
        <w:t>Table 1. Compositions and physicochemical properties of commercial cementitious based materials</w:t>
      </w:r>
    </w:p>
    <w:tbl>
      <w:tblPr>
        <w:tblW w:w="8695" w:type="dxa"/>
        <w:jc w:val="center"/>
        <w:tblBorders>
          <w:top w:val="single" w:sz="12" w:space="0" w:color="008000"/>
          <w:bottom w:val="single" w:sz="12" w:space="0" w:color="008000"/>
        </w:tblBorders>
        <w:tblLook w:val="00A0" w:firstRow="1" w:lastRow="0" w:firstColumn="1" w:lastColumn="0" w:noHBand="0" w:noVBand="0"/>
      </w:tblPr>
      <w:tblGrid>
        <w:gridCol w:w="1530"/>
        <w:gridCol w:w="164"/>
        <w:gridCol w:w="791"/>
        <w:gridCol w:w="694"/>
        <w:gridCol w:w="628"/>
        <w:gridCol w:w="681"/>
        <w:gridCol w:w="708"/>
        <w:gridCol w:w="815"/>
        <w:gridCol w:w="791"/>
        <w:gridCol w:w="897"/>
        <w:gridCol w:w="972"/>
        <w:gridCol w:w="24"/>
      </w:tblGrid>
      <w:tr w:rsidR="003568F0" w:rsidRPr="003568F0" w:rsidTr="00433D6D">
        <w:trPr>
          <w:gridAfter w:val="1"/>
          <w:wAfter w:w="24" w:type="dxa"/>
          <w:jc w:val="center"/>
        </w:trPr>
        <w:tc>
          <w:tcPr>
            <w:tcW w:w="1530" w:type="dxa"/>
            <w:tcBorders>
              <w:top w:val="single" w:sz="12" w:space="0" w:color="000000"/>
              <w:bottom w:val="single" w:sz="6" w:space="0" w:color="auto"/>
            </w:tcBorders>
            <w:shd w:val="clear" w:color="auto" w:fill="auto"/>
          </w:tcPr>
          <w:p w:rsidR="00BE422E" w:rsidRPr="003568F0" w:rsidRDefault="00BE422E" w:rsidP="00433D6D">
            <w:r w:rsidRPr="003568F0">
              <w:t>Name</w:t>
            </w:r>
          </w:p>
        </w:tc>
        <w:tc>
          <w:tcPr>
            <w:tcW w:w="6169" w:type="dxa"/>
            <w:gridSpan w:val="9"/>
            <w:tcBorders>
              <w:top w:val="single" w:sz="12" w:space="0" w:color="000000"/>
              <w:bottom w:val="single" w:sz="6" w:space="0" w:color="auto"/>
            </w:tcBorders>
            <w:shd w:val="clear" w:color="auto" w:fill="auto"/>
          </w:tcPr>
          <w:p w:rsidR="00BE422E" w:rsidRPr="003568F0" w:rsidRDefault="00BE422E" w:rsidP="00433D6D">
            <w:pPr>
              <w:jc w:val="center"/>
            </w:pPr>
            <w:r w:rsidRPr="003568F0">
              <w:t>Composition</w:t>
            </w:r>
          </w:p>
          <w:p w:rsidR="00BE422E" w:rsidRPr="003568F0" w:rsidRDefault="00BE422E" w:rsidP="00433D6D">
            <w:pPr>
              <w:jc w:val="center"/>
            </w:pPr>
            <w:r w:rsidRPr="003568F0">
              <w:t>wt.%</w:t>
            </w:r>
          </w:p>
        </w:tc>
        <w:tc>
          <w:tcPr>
            <w:tcW w:w="972" w:type="dxa"/>
            <w:tcBorders>
              <w:top w:val="single" w:sz="12" w:space="0" w:color="000000"/>
              <w:bottom w:val="single" w:sz="6" w:space="0" w:color="auto"/>
            </w:tcBorders>
            <w:shd w:val="clear" w:color="auto" w:fill="auto"/>
          </w:tcPr>
          <w:p w:rsidR="00BE422E" w:rsidRPr="003568F0" w:rsidRDefault="00BE422E" w:rsidP="00433D6D">
            <w:pPr>
              <w:jc w:val="center"/>
              <w:rPr>
                <w:vertAlign w:val="subscript"/>
              </w:rPr>
            </w:pPr>
            <w:r w:rsidRPr="003568F0">
              <w:t>TiO</w:t>
            </w:r>
            <w:r w:rsidRPr="003568F0">
              <w:rPr>
                <w:vertAlign w:val="subscript"/>
              </w:rPr>
              <w:t>2</w:t>
            </w:r>
          </w:p>
          <w:p w:rsidR="00BE422E" w:rsidRPr="003568F0" w:rsidRDefault="00BE422E" w:rsidP="00433D6D">
            <w:pPr>
              <w:jc w:val="center"/>
            </w:pPr>
            <w:r w:rsidRPr="003568F0">
              <w:rPr>
                <w:vertAlign w:val="subscript"/>
              </w:rPr>
              <w:t>crystal size</w:t>
            </w:r>
          </w:p>
          <w:p w:rsidR="00BE422E" w:rsidRPr="003568F0" w:rsidRDefault="00BE422E" w:rsidP="00433D6D">
            <w:pPr>
              <w:jc w:val="center"/>
            </w:pPr>
            <w:r w:rsidRPr="003568F0">
              <w:t>nm</w:t>
            </w:r>
          </w:p>
        </w:tc>
      </w:tr>
      <w:tr w:rsidR="003568F0" w:rsidRPr="003568F0" w:rsidTr="00433D6D">
        <w:trPr>
          <w:jc w:val="center"/>
        </w:trPr>
        <w:tc>
          <w:tcPr>
            <w:tcW w:w="1694" w:type="dxa"/>
            <w:gridSpan w:val="2"/>
            <w:tcBorders>
              <w:top w:val="single" w:sz="6" w:space="0" w:color="auto"/>
            </w:tcBorders>
            <w:shd w:val="clear" w:color="auto" w:fill="auto"/>
          </w:tcPr>
          <w:p w:rsidR="00BE422E" w:rsidRPr="003568F0" w:rsidRDefault="00BE422E" w:rsidP="00433D6D"/>
        </w:tc>
        <w:tc>
          <w:tcPr>
            <w:tcW w:w="791" w:type="dxa"/>
            <w:tcBorders>
              <w:top w:val="single" w:sz="6" w:space="0" w:color="auto"/>
            </w:tcBorders>
            <w:shd w:val="clear" w:color="auto" w:fill="auto"/>
          </w:tcPr>
          <w:p w:rsidR="00BE422E" w:rsidRPr="003568F0" w:rsidRDefault="00BE422E" w:rsidP="00433D6D">
            <w:r w:rsidRPr="003568F0">
              <w:t>Al</w:t>
            </w:r>
            <w:r w:rsidRPr="003568F0">
              <w:rPr>
                <w:vertAlign w:val="subscript"/>
              </w:rPr>
              <w:t>2</w:t>
            </w:r>
            <w:r w:rsidRPr="003568F0">
              <w:t>O</w:t>
            </w:r>
            <w:r w:rsidRPr="003568F0">
              <w:rPr>
                <w:vertAlign w:val="subscript"/>
              </w:rPr>
              <w:t>3</w:t>
            </w:r>
          </w:p>
        </w:tc>
        <w:tc>
          <w:tcPr>
            <w:tcW w:w="694" w:type="dxa"/>
            <w:tcBorders>
              <w:top w:val="single" w:sz="6" w:space="0" w:color="auto"/>
            </w:tcBorders>
            <w:shd w:val="clear" w:color="auto" w:fill="auto"/>
          </w:tcPr>
          <w:p w:rsidR="00BE422E" w:rsidRPr="003568F0" w:rsidRDefault="00BE422E" w:rsidP="00433D6D">
            <w:r w:rsidRPr="003568F0">
              <w:t>SiO</w:t>
            </w:r>
            <w:r w:rsidRPr="003568F0">
              <w:rPr>
                <w:vertAlign w:val="subscript"/>
              </w:rPr>
              <w:t>2</w:t>
            </w:r>
          </w:p>
        </w:tc>
        <w:tc>
          <w:tcPr>
            <w:tcW w:w="628" w:type="dxa"/>
            <w:tcBorders>
              <w:top w:val="single" w:sz="6" w:space="0" w:color="auto"/>
            </w:tcBorders>
            <w:shd w:val="clear" w:color="auto" w:fill="auto"/>
          </w:tcPr>
          <w:p w:rsidR="00BE422E" w:rsidRPr="003568F0" w:rsidRDefault="00BE422E" w:rsidP="00433D6D">
            <w:r w:rsidRPr="003568F0">
              <w:t>SO</w:t>
            </w:r>
            <w:r w:rsidRPr="003568F0">
              <w:rPr>
                <w:vertAlign w:val="subscript"/>
              </w:rPr>
              <w:t>4</w:t>
            </w:r>
          </w:p>
        </w:tc>
        <w:tc>
          <w:tcPr>
            <w:tcW w:w="681" w:type="dxa"/>
            <w:tcBorders>
              <w:top w:val="single" w:sz="6" w:space="0" w:color="auto"/>
            </w:tcBorders>
            <w:shd w:val="clear" w:color="auto" w:fill="auto"/>
          </w:tcPr>
          <w:p w:rsidR="00BE422E" w:rsidRPr="003568F0" w:rsidRDefault="00BE422E" w:rsidP="00433D6D">
            <w:r w:rsidRPr="003568F0">
              <w:t>CaO</w:t>
            </w:r>
          </w:p>
        </w:tc>
        <w:tc>
          <w:tcPr>
            <w:tcW w:w="708" w:type="dxa"/>
            <w:tcBorders>
              <w:top w:val="single" w:sz="6" w:space="0" w:color="auto"/>
            </w:tcBorders>
            <w:shd w:val="clear" w:color="auto" w:fill="auto"/>
          </w:tcPr>
          <w:p w:rsidR="00BE422E" w:rsidRPr="003568F0" w:rsidRDefault="00BE422E" w:rsidP="00433D6D">
            <w:r w:rsidRPr="003568F0">
              <w:t>TiO</w:t>
            </w:r>
            <w:r w:rsidRPr="003568F0">
              <w:rPr>
                <w:vertAlign w:val="subscript"/>
              </w:rPr>
              <w:t>2</w:t>
            </w:r>
          </w:p>
        </w:tc>
        <w:tc>
          <w:tcPr>
            <w:tcW w:w="815" w:type="dxa"/>
            <w:tcBorders>
              <w:top w:val="single" w:sz="6" w:space="0" w:color="auto"/>
            </w:tcBorders>
            <w:shd w:val="clear" w:color="auto" w:fill="auto"/>
          </w:tcPr>
          <w:p w:rsidR="00BE422E" w:rsidRPr="003568F0" w:rsidRDefault="00BE422E" w:rsidP="00433D6D">
            <w:r w:rsidRPr="003568F0">
              <w:t>Fe</w:t>
            </w:r>
            <w:r w:rsidRPr="003568F0">
              <w:rPr>
                <w:vertAlign w:val="subscript"/>
              </w:rPr>
              <w:t>2</w:t>
            </w:r>
            <w:r w:rsidRPr="003568F0">
              <w:t>O</w:t>
            </w:r>
            <w:r w:rsidRPr="003568F0">
              <w:rPr>
                <w:vertAlign w:val="subscript"/>
              </w:rPr>
              <w:t>3</w:t>
            </w:r>
          </w:p>
        </w:tc>
        <w:tc>
          <w:tcPr>
            <w:tcW w:w="791" w:type="dxa"/>
            <w:tcBorders>
              <w:top w:val="single" w:sz="6" w:space="0" w:color="auto"/>
            </w:tcBorders>
            <w:shd w:val="clear" w:color="auto" w:fill="auto"/>
          </w:tcPr>
          <w:p w:rsidR="00BE422E" w:rsidRPr="003568F0" w:rsidRDefault="00BE422E" w:rsidP="00433D6D">
            <w:r w:rsidRPr="003568F0">
              <w:t>KOH</w:t>
            </w:r>
          </w:p>
        </w:tc>
        <w:tc>
          <w:tcPr>
            <w:tcW w:w="897" w:type="dxa"/>
            <w:tcBorders>
              <w:top w:val="single" w:sz="6" w:space="0" w:color="auto"/>
            </w:tcBorders>
            <w:shd w:val="clear" w:color="auto" w:fill="auto"/>
          </w:tcPr>
          <w:p w:rsidR="00BE422E" w:rsidRPr="003568F0" w:rsidRDefault="00BE422E" w:rsidP="00433D6D">
            <w:r w:rsidRPr="003568F0">
              <w:t>MgOH</w:t>
            </w:r>
          </w:p>
        </w:tc>
        <w:tc>
          <w:tcPr>
            <w:tcW w:w="996" w:type="dxa"/>
            <w:gridSpan w:val="2"/>
            <w:tcBorders>
              <w:top w:val="single" w:sz="6" w:space="0" w:color="auto"/>
            </w:tcBorders>
            <w:shd w:val="clear" w:color="auto" w:fill="auto"/>
          </w:tcPr>
          <w:p w:rsidR="00BE422E" w:rsidRPr="003568F0" w:rsidRDefault="00BE422E" w:rsidP="00433D6D"/>
        </w:tc>
      </w:tr>
      <w:tr w:rsidR="003568F0" w:rsidRPr="003568F0" w:rsidTr="00433D6D">
        <w:trPr>
          <w:jc w:val="center"/>
        </w:trPr>
        <w:tc>
          <w:tcPr>
            <w:tcW w:w="1694" w:type="dxa"/>
            <w:gridSpan w:val="2"/>
            <w:shd w:val="clear" w:color="auto" w:fill="auto"/>
          </w:tcPr>
          <w:p w:rsidR="00BE422E" w:rsidRPr="003568F0" w:rsidRDefault="00BE422E" w:rsidP="00433D6D">
            <w:r w:rsidRPr="003568F0">
              <w:t>CEM-Ti-A</w:t>
            </w:r>
          </w:p>
        </w:tc>
        <w:tc>
          <w:tcPr>
            <w:tcW w:w="791" w:type="dxa"/>
            <w:shd w:val="clear" w:color="auto" w:fill="auto"/>
          </w:tcPr>
          <w:p w:rsidR="00BE422E" w:rsidRPr="003568F0" w:rsidRDefault="00BE422E" w:rsidP="00433D6D">
            <w:r w:rsidRPr="003568F0">
              <w:t>3.3</w:t>
            </w:r>
          </w:p>
        </w:tc>
        <w:tc>
          <w:tcPr>
            <w:tcW w:w="694" w:type="dxa"/>
            <w:shd w:val="clear" w:color="auto" w:fill="auto"/>
          </w:tcPr>
          <w:p w:rsidR="00BE422E" w:rsidRPr="003568F0" w:rsidRDefault="00BE422E" w:rsidP="00433D6D">
            <w:r w:rsidRPr="003568F0">
              <w:t>24.8</w:t>
            </w:r>
          </w:p>
        </w:tc>
        <w:tc>
          <w:tcPr>
            <w:tcW w:w="628" w:type="dxa"/>
            <w:shd w:val="clear" w:color="auto" w:fill="auto"/>
          </w:tcPr>
          <w:p w:rsidR="00BE422E" w:rsidRPr="003568F0" w:rsidRDefault="00BE422E" w:rsidP="00433D6D">
            <w:r w:rsidRPr="003568F0">
              <w:t>4.5</w:t>
            </w:r>
          </w:p>
        </w:tc>
        <w:tc>
          <w:tcPr>
            <w:tcW w:w="681" w:type="dxa"/>
            <w:shd w:val="clear" w:color="auto" w:fill="auto"/>
          </w:tcPr>
          <w:p w:rsidR="00BE422E" w:rsidRPr="003568F0" w:rsidRDefault="00BE422E" w:rsidP="00433D6D">
            <w:r w:rsidRPr="003568F0">
              <w:t>42.6</w:t>
            </w:r>
          </w:p>
        </w:tc>
        <w:tc>
          <w:tcPr>
            <w:tcW w:w="708" w:type="dxa"/>
            <w:shd w:val="clear" w:color="auto" w:fill="auto"/>
          </w:tcPr>
          <w:p w:rsidR="00BE422E" w:rsidRPr="003568F0" w:rsidRDefault="00BE422E" w:rsidP="00433D6D">
            <w:r w:rsidRPr="003568F0">
              <w:t>9.8</w:t>
            </w:r>
          </w:p>
        </w:tc>
        <w:tc>
          <w:tcPr>
            <w:tcW w:w="815" w:type="dxa"/>
            <w:shd w:val="clear" w:color="auto" w:fill="auto"/>
          </w:tcPr>
          <w:p w:rsidR="00BE422E" w:rsidRPr="003568F0" w:rsidRDefault="00BE422E" w:rsidP="00433D6D">
            <w:r w:rsidRPr="003568F0">
              <w:t>2.2</w:t>
            </w:r>
          </w:p>
        </w:tc>
        <w:tc>
          <w:tcPr>
            <w:tcW w:w="791" w:type="dxa"/>
            <w:shd w:val="clear" w:color="auto" w:fill="auto"/>
          </w:tcPr>
          <w:p w:rsidR="00BE422E" w:rsidRPr="003568F0" w:rsidRDefault="00BE422E" w:rsidP="00433D6D">
            <w:r w:rsidRPr="003568F0">
              <w:t>0.1</w:t>
            </w:r>
          </w:p>
        </w:tc>
        <w:tc>
          <w:tcPr>
            <w:tcW w:w="897" w:type="dxa"/>
            <w:shd w:val="clear" w:color="auto" w:fill="auto"/>
          </w:tcPr>
          <w:p w:rsidR="00BE422E" w:rsidRPr="003568F0" w:rsidRDefault="00BE422E" w:rsidP="00433D6D">
            <w:r w:rsidRPr="003568F0">
              <w:t>1.5</w:t>
            </w:r>
          </w:p>
        </w:tc>
        <w:tc>
          <w:tcPr>
            <w:tcW w:w="996" w:type="dxa"/>
            <w:gridSpan w:val="2"/>
            <w:shd w:val="clear" w:color="auto" w:fill="auto"/>
          </w:tcPr>
          <w:p w:rsidR="00BE422E" w:rsidRPr="003568F0" w:rsidRDefault="00BE422E" w:rsidP="00433D6D">
            <w:pPr>
              <w:jc w:val="right"/>
            </w:pPr>
            <w:r w:rsidRPr="003568F0">
              <w:t>35</w:t>
            </w:r>
          </w:p>
        </w:tc>
      </w:tr>
      <w:tr w:rsidR="003568F0" w:rsidRPr="003568F0" w:rsidTr="00433D6D">
        <w:trPr>
          <w:jc w:val="center"/>
        </w:trPr>
        <w:tc>
          <w:tcPr>
            <w:tcW w:w="1694" w:type="dxa"/>
            <w:gridSpan w:val="2"/>
            <w:shd w:val="clear" w:color="auto" w:fill="auto"/>
          </w:tcPr>
          <w:p w:rsidR="00BE422E" w:rsidRPr="003568F0" w:rsidRDefault="00BE422E" w:rsidP="00433D6D">
            <w:r w:rsidRPr="003568F0">
              <w:t>CEM-Ti-B</w:t>
            </w:r>
          </w:p>
        </w:tc>
        <w:tc>
          <w:tcPr>
            <w:tcW w:w="791" w:type="dxa"/>
            <w:shd w:val="clear" w:color="auto" w:fill="auto"/>
          </w:tcPr>
          <w:p w:rsidR="00BE422E" w:rsidRPr="003568F0" w:rsidRDefault="00BE422E" w:rsidP="00433D6D">
            <w:r w:rsidRPr="003568F0">
              <w:t>2.9</w:t>
            </w:r>
          </w:p>
        </w:tc>
        <w:tc>
          <w:tcPr>
            <w:tcW w:w="694" w:type="dxa"/>
            <w:shd w:val="clear" w:color="auto" w:fill="auto"/>
          </w:tcPr>
          <w:p w:rsidR="00BE422E" w:rsidRPr="003568F0" w:rsidRDefault="00BE422E" w:rsidP="00433D6D">
            <w:r w:rsidRPr="003568F0">
              <w:t>17.2</w:t>
            </w:r>
          </w:p>
        </w:tc>
        <w:tc>
          <w:tcPr>
            <w:tcW w:w="628" w:type="dxa"/>
            <w:shd w:val="clear" w:color="auto" w:fill="auto"/>
          </w:tcPr>
          <w:p w:rsidR="00BE422E" w:rsidRPr="003568F0" w:rsidRDefault="00BE422E" w:rsidP="00433D6D">
            <w:r w:rsidRPr="003568F0">
              <w:t>4.1</w:t>
            </w:r>
          </w:p>
        </w:tc>
        <w:tc>
          <w:tcPr>
            <w:tcW w:w="681" w:type="dxa"/>
            <w:shd w:val="clear" w:color="auto" w:fill="auto"/>
          </w:tcPr>
          <w:p w:rsidR="00BE422E" w:rsidRPr="003568F0" w:rsidRDefault="00BE422E" w:rsidP="00433D6D">
            <w:r w:rsidRPr="003568F0">
              <w:t>56.0</w:t>
            </w:r>
          </w:p>
        </w:tc>
        <w:tc>
          <w:tcPr>
            <w:tcW w:w="708" w:type="dxa"/>
            <w:shd w:val="clear" w:color="auto" w:fill="auto"/>
          </w:tcPr>
          <w:p w:rsidR="00BE422E" w:rsidRPr="003568F0" w:rsidRDefault="00BE422E" w:rsidP="00433D6D">
            <w:r w:rsidRPr="003568F0">
              <w:t>7.0</w:t>
            </w:r>
          </w:p>
        </w:tc>
        <w:tc>
          <w:tcPr>
            <w:tcW w:w="815" w:type="dxa"/>
            <w:shd w:val="clear" w:color="auto" w:fill="auto"/>
          </w:tcPr>
          <w:p w:rsidR="00BE422E" w:rsidRPr="003568F0" w:rsidRDefault="00BE422E" w:rsidP="00433D6D">
            <w:r w:rsidRPr="003568F0">
              <w:t>1.4</w:t>
            </w:r>
          </w:p>
        </w:tc>
        <w:tc>
          <w:tcPr>
            <w:tcW w:w="791" w:type="dxa"/>
            <w:shd w:val="clear" w:color="auto" w:fill="auto"/>
          </w:tcPr>
          <w:p w:rsidR="00BE422E" w:rsidRPr="003568F0" w:rsidRDefault="00BE422E" w:rsidP="00433D6D">
            <w:r w:rsidRPr="003568F0">
              <w:t>1.0</w:t>
            </w:r>
          </w:p>
        </w:tc>
        <w:tc>
          <w:tcPr>
            <w:tcW w:w="897" w:type="dxa"/>
            <w:shd w:val="clear" w:color="auto" w:fill="auto"/>
          </w:tcPr>
          <w:p w:rsidR="00BE422E" w:rsidRPr="003568F0" w:rsidRDefault="00BE422E" w:rsidP="00433D6D">
            <w:r w:rsidRPr="003568F0">
              <w:t>1.0</w:t>
            </w:r>
          </w:p>
        </w:tc>
        <w:tc>
          <w:tcPr>
            <w:tcW w:w="996" w:type="dxa"/>
            <w:gridSpan w:val="2"/>
            <w:shd w:val="clear" w:color="auto" w:fill="auto"/>
          </w:tcPr>
          <w:p w:rsidR="00BE422E" w:rsidRPr="003568F0" w:rsidRDefault="00BE422E" w:rsidP="00433D6D">
            <w:pPr>
              <w:jc w:val="right"/>
            </w:pPr>
            <w:r w:rsidRPr="003568F0">
              <w:t>23</w:t>
            </w:r>
          </w:p>
        </w:tc>
      </w:tr>
      <w:tr w:rsidR="00BE422E" w:rsidRPr="003568F0" w:rsidTr="00433D6D">
        <w:trPr>
          <w:jc w:val="center"/>
        </w:trPr>
        <w:tc>
          <w:tcPr>
            <w:tcW w:w="1694" w:type="dxa"/>
            <w:gridSpan w:val="2"/>
            <w:tcBorders>
              <w:bottom w:val="single" w:sz="12" w:space="0" w:color="000000"/>
            </w:tcBorders>
            <w:shd w:val="clear" w:color="auto" w:fill="auto"/>
          </w:tcPr>
          <w:p w:rsidR="00BE422E" w:rsidRPr="003568F0" w:rsidRDefault="00BE422E" w:rsidP="00433D6D">
            <w:r w:rsidRPr="003568F0">
              <w:t>CEM-Ti-B/asphalt</w:t>
            </w:r>
          </w:p>
        </w:tc>
        <w:tc>
          <w:tcPr>
            <w:tcW w:w="791" w:type="dxa"/>
            <w:tcBorders>
              <w:bottom w:val="single" w:sz="12" w:space="0" w:color="000000"/>
            </w:tcBorders>
            <w:shd w:val="clear" w:color="auto" w:fill="auto"/>
          </w:tcPr>
          <w:p w:rsidR="00BE422E" w:rsidRPr="003568F0" w:rsidRDefault="00BE422E" w:rsidP="00433D6D">
            <w:r w:rsidRPr="003568F0">
              <w:t xml:space="preserve">0.9 </w:t>
            </w:r>
          </w:p>
        </w:tc>
        <w:tc>
          <w:tcPr>
            <w:tcW w:w="694" w:type="dxa"/>
            <w:tcBorders>
              <w:bottom w:val="single" w:sz="12" w:space="0" w:color="000000"/>
            </w:tcBorders>
            <w:shd w:val="clear" w:color="auto" w:fill="auto"/>
          </w:tcPr>
          <w:p w:rsidR="00BE422E" w:rsidRPr="003568F0" w:rsidRDefault="00BE422E" w:rsidP="00433D6D">
            <w:r w:rsidRPr="003568F0">
              <w:t>11.9</w:t>
            </w:r>
          </w:p>
        </w:tc>
        <w:tc>
          <w:tcPr>
            <w:tcW w:w="628" w:type="dxa"/>
            <w:tcBorders>
              <w:bottom w:val="single" w:sz="12" w:space="0" w:color="000000"/>
            </w:tcBorders>
            <w:shd w:val="clear" w:color="auto" w:fill="auto"/>
          </w:tcPr>
          <w:p w:rsidR="00BE422E" w:rsidRPr="003568F0" w:rsidRDefault="00BE422E" w:rsidP="00433D6D">
            <w:r w:rsidRPr="003568F0">
              <w:t>5.9</w:t>
            </w:r>
          </w:p>
        </w:tc>
        <w:tc>
          <w:tcPr>
            <w:tcW w:w="681" w:type="dxa"/>
            <w:tcBorders>
              <w:bottom w:val="single" w:sz="12" w:space="0" w:color="000000"/>
            </w:tcBorders>
            <w:shd w:val="clear" w:color="auto" w:fill="auto"/>
          </w:tcPr>
          <w:p w:rsidR="00BE422E" w:rsidRPr="003568F0" w:rsidRDefault="00BE422E" w:rsidP="00433D6D">
            <w:r w:rsidRPr="003568F0">
              <w:t>61.3</w:t>
            </w:r>
          </w:p>
        </w:tc>
        <w:tc>
          <w:tcPr>
            <w:tcW w:w="708" w:type="dxa"/>
            <w:tcBorders>
              <w:bottom w:val="single" w:sz="12" w:space="0" w:color="000000"/>
            </w:tcBorders>
            <w:shd w:val="clear" w:color="auto" w:fill="auto"/>
          </w:tcPr>
          <w:p w:rsidR="00BE422E" w:rsidRPr="003568F0" w:rsidRDefault="00BE422E" w:rsidP="00433D6D">
            <w:r w:rsidRPr="003568F0">
              <w:t xml:space="preserve">6.0 </w:t>
            </w:r>
          </w:p>
        </w:tc>
        <w:tc>
          <w:tcPr>
            <w:tcW w:w="815" w:type="dxa"/>
            <w:tcBorders>
              <w:bottom w:val="single" w:sz="12" w:space="0" w:color="000000"/>
            </w:tcBorders>
            <w:shd w:val="clear" w:color="auto" w:fill="auto"/>
          </w:tcPr>
          <w:p w:rsidR="00BE422E" w:rsidRPr="003568F0" w:rsidRDefault="00BE422E" w:rsidP="00433D6D">
            <w:r w:rsidRPr="003568F0">
              <w:t>1.5</w:t>
            </w:r>
          </w:p>
        </w:tc>
        <w:tc>
          <w:tcPr>
            <w:tcW w:w="791" w:type="dxa"/>
            <w:tcBorders>
              <w:bottom w:val="single" w:sz="12" w:space="0" w:color="000000"/>
            </w:tcBorders>
            <w:shd w:val="clear" w:color="auto" w:fill="auto"/>
          </w:tcPr>
          <w:p w:rsidR="00BE422E" w:rsidRPr="003568F0" w:rsidRDefault="00BE422E" w:rsidP="00433D6D">
            <w:r w:rsidRPr="003568F0">
              <w:t>0.3</w:t>
            </w:r>
          </w:p>
        </w:tc>
        <w:tc>
          <w:tcPr>
            <w:tcW w:w="897" w:type="dxa"/>
            <w:tcBorders>
              <w:bottom w:val="single" w:sz="12" w:space="0" w:color="000000"/>
            </w:tcBorders>
            <w:shd w:val="clear" w:color="auto" w:fill="auto"/>
          </w:tcPr>
          <w:p w:rsidR="00BE422E" w:rsidRPr="003568F0" w:rsidRDefault="00BE422E" w:rsidP="00433D6D">
            <w:r w:rsidRPr="003568F0">
              <w:t>1.1</w:t>
            </w:r>
          </w:p>
        </w:tc>
        <w:tc>
          <w:tcPr>
            <w:tcW w:w="996" w:type="dxa"/>
            <w:gridSpan w:val="2"/>
            <w:tcBorders>
              <w:bottom w:val="single" w:sz="12" w:space="0" w:color="000000"/>
            </w:tcBorders>
            <w:shd w:val="clear" w:color="auto" w:fill="auto"/>
          </w:tcPr>
          <w:p w:rsidR="00BE422E" w:rsidRPr="003568F0" w:rsidRDefault="00BE422E" w:rsidP="00433D6D">
            <w:pPr>
              <w:jc w:val="right"/>
            </w:pPr>
            <w:r w:rsidRPr="003568F0">
              <w:t>-</w:t>
            </w:r>
          </w:p>
        </w:tc>
      </w:tr>
    </w:tbl>
    <w:p w:rsidR="00BE422E" w:rsidRPr="003568F0" w:rsidRDefault="00BE422E" w:rsidP="00433D6D">
      <w:pPr>
        <w:pStyle w:val="TextFirstParagraph"/>
        <w:widowControl w:val="0"/>
        <w:spacing w:line="360" w:lineRule="auto"/>
        <w:ind w:firstLine="142"/>
        <w:rPr>
          <w:sz w:val="24"/>
        </w:rPr>
      </w:pPr>
    </w:p>
    <w:p w:rsidR="00BE422E" w:rsidRPr="003568F0" w:rsidRDefault="00BE422E" w:rsidP="00433D6D">
      <w:pPr>
        <w:pStyle w:val="TextFirstParagraph"/>
        <w:widowControl w:val="0"/>
        <w:spacing w:line="360" w:lineRule="auto"/>
        <w:ind w:firstLine="142"/>
        <w:rPr>
          <w:i/>
          <w:sz w:val="24"/>
        </w:rPr>
      </w:pPr>
      <w:r w:rsidRPr="003568F0">
        <w:rPr>
          <w:i/>
          <w:sz w:val="24"/>
        </w:rPr>
        <w:t xml:space="preserve">Characterization techniques </w:t>
      </w:r>
    </w:p>
    <w:p w:rsidR="00BE422E" w:rsidRPr="003568F0" w:rsidRDefault="00BE422E" w:rsidP="00433D6D">
      <w:pPr>
        <w:pStyle w:val="TextFirstParagraph"/>
        <w:widowControl w:val="0"/>
        <w:spacing w:line="360" w:lineRule="auto"/>
        <w:ind w:firstLine="142"/>
        <w:rPr>
          <w:sz w:val="24"/>
        </w:rPr>
      </w:pPr>
      <w:r w:rsidRPr="003568F0">
        <w:rPr>
          <w:sz w:val="24"/>
        </w:rPr>
        <w:t xml:space="preserve">A </w:t>
      </w:r>
      <w:r w:rsidRPr="003568F0">
        <w:rPr>
          <w:i/>
          <w:sz w:val="24"/>
        </w:rPr>
        <w:t>scanning electron microscopy</w:t>
      </w:r>
      <w:r w:rsidRPr="003568F0">
        <w:rPr>
          <w:sz w:val="24"/>
        </w:rPr>
        <w:t xml:space="preserve"> (SEM) study of the cementitious materials and asphalt plate was carried out in a Zeiss DSM 960 coupled with an EDX Link eXL dispersive energy analyser; the samples were initially coated with a conductive layer of golden for analysis.</w:t>
      </w:r>
    </w:p>
    <w:p w:rsidR="00BE422E" w:rsidRPr="003568F0" w:rsidRDefault="00BE422E" w:rsidP="00433D6D">
      <w:pPr>
        <w:pStyle w:val="TextFirstParagraph"/>
        <w:widowControl w:val="0"/>
        <w:spacing w:line="360" w:lineRule="auto"/>
        <w:ind w:firstLine="142"/>
        <w:rPr>
          <w:sz w:val="24"/>
        </w:rPr>
      </w:pPr>
      <w:r w:rsidRPr="003568F0">
        <w:rPr>
          <w:i/>
          <w:sz w:val="24"/>
        </w:rPr>
        <w:t>X-ray diffraction</w:t>
      </w:r>
      <w:r w:rsidRPr="003568F0">
        <w:rPr>
          <w:sz w:val="24"/>
        </w:rPr>
        <w:t xml:space="preserve"> (XRD) analysis was performed using an X’Pert Pro PANalytical X-</w:t>
      </w:r>
      <w:r w:rsidRPr="003568F0">
        <w:rPr>
          <w:sz w:val="24"/>
        </w:rPr>
        <w:lastRenderedPageBreak/>
        <w:t>ray diffractometer. Bragg’s angles (2</w:t>
      </w:r>
      <w:r w:rsidRPr="003568F0">
        <w:rPr>
          <w:sz w:val="24"/>
        </w:rPr>
        <w:sym w:font="Symbol" w:char="F071"/>
      </w:r>
      <w:r w:rsidRPr="003568F0">
        <w:rPr>
          <w:sz w:val="24"/>
        </w:rPr>
        <w:t>) between 20</w:t>
      </w:r>
      <w:r w:rsidRPr="003568F0">
        <w:rPr>
          <w:sz w:val="24"/>
          <w:vertAlign w:val="superscript"/>
        </w:rPr>
        <w:t>°</w:t>
      </w:r>
      <w:r w:rsidRPr="003568F0">
        <w:rPr>
          <w:sz w:val="24"/>
        </w:rPr>
        <w:t xml:space="preserve"> and 80</w:t>
      </w:r>
      <w:r w:rsidRPr="003568F0">
        <w:rPr>
          <w:sz w:val="24"/>
          <w:vertAlign w:val="superscript"/>
        </w:rPr>
        <w:t>°</w:t>
      </w:r>
      <w:r w:rsidRPr="003568F0">
        <w:rPr>
          <w:sz w:val="24"/>
        </w:rPr>
        <w:t xml:space="preserve"> were recorded at a rate of 0.02</w:t>
      </w:r>
      <w:r w:rsidRPr="003568F0">
        <w:rPr>
          <w:sz w:val="24"/>
          <w:vertAlign w:val="superscript"/>
        </w:rPr>
        <w:t>°</w:t>
      </w:r>
      <w:r w:rsidRPr="003568F0">
        <w:rPr>
          <w:sz w:val="24"/>
        </w:rPr>
        <w:t xml:space="preserve"> per step and a count time of 50 s per step. Diffraction lines were assigned to the corresponding crystalline phases by comparison with powder diffraction ﬁles (PDF) from the international centre for diffraction data (ICDD) (joint committee on power diffraction standards (JCPDS)). </w:t>
      </w:r>
    </w:p>
    <w:p w:rsidR="00BE422E" w:rsidRPr="003568F0" w:rsidRDefault="00BE422E" w:rsidP="00433D6D">
      <w:pPr>
        <w:pStyle w:val="TextFirstParagraph"/>
        <w:widowControl w:val="0"/>
        <w:spacing w:line="360" w:lineRule="auto"/>
        <w:ind w:firstLine="142"/>
        <w:rPr>
          <w:sz w:val="24"/>
        </w:rPr>
      </w:pPr>
      <w:r w:rsidRPr="003568F0">
        <w:rPr>
          <w:i/>
          <w:sz w:val="24"/>
        </w:rPr>
        <w:t>Thermogravimetric analysis</w:t>
      </w:r>
      <w:r w:rsidRPr="003568F0">
        <w:rPr>
          <w:sz w:val="24"/>
        </w:rPr>
        <w:t xml:space="preserve"> (TGA) was done in a controlled atmosphere in a Mettler Toledo TGA/SDTA851e thermobalance from 25 °C to 900 °C with a heating ramp of 10 °C min</w:t>
      </w:r>
      <w:r w:rsidRPr="003568F0">
        <w:rPr>
          <w:sz w:val="24"/>
          <w:vertAlign w:val="superscript"/>
        </w:rPr>
        <w:t>− 1</w:t>
      </w:r>
      <w:r w:rsidRPr="003568F0">
        <w:rPr>
          <w:sz w:val="24"/>
        </w:rPr>
        <w:t xml:space="preserve"> and air ﬂow of 75 Nm L min</w:t>
      </w:r>
      <w:r w:rsidRPr="003568F0">
        <w:rPr>
          <w:sz w:val="24"/>
          <w:vertAlign w:val="superscript"/>
        </w:rPr>
        <w:t>−1</w:t>
      </w:r>
      <w:r w:rsidRPr="003568F0">
        <w:rPr>
          <w:sz w:val="24"/>
        </w:rPr>
        <w:t>.</w:t>
      </w:r>
    </w:p>
    <w:p w:rsidR="00BE422E" w:rsidRPr="003568F0" w:rsidRDefault="00BE422E" w:rsidP="00433D6D">
      <w:pPr>
        <w:pStyle w:val="TextFirstParagraph"/>
        <w:widowControl w:val="0"/>
        <w:spacing w:line="360" w:lineRule="auto"/>
        <w:ind w:firstLine="142"/>
        <w:rPr>
          <w:sz w:val="24"/>
        </w:rPr>
      </w:pPr>
      <w:r w:rsidRPr="003568F0">
        <w:rPr>
          <w:sz w:val="24"/>
        </w:rPr>
        <w:t xml:space="preserve">The speciﬁc sample </w:t>
      </w:r>
      <w:r w:rsidRPr="003568F0">
        <w:rPr>
          <w:i/>
          <w:sz w:val="24"/>
        </w:rPr>
        <w:t>surface area</w:t>
      </w:r>
      <w:r w:rsidRPr="003568F0">
        <w:rPr>
          <w:sz w:val="24"/>
        </w:rPr>
        <w:t xml:space="preserve"> (BET area) was calculated by nitrogen adsorption at − 196 °C with a Micromeritics TriStar 3000 Gas Adsorption Analyser by outgassing the samples overnight at 250 </w:t>
      </w:r>
      <w:r w:rsidRPr="003568F0">
        <w:rPr>
          <w:sz w:val="24"/>
          <w:vertAlign w:val="superscript"/>
        </w:rPr>
        <w:t>°</w:t>
      </w:r>
      <w:r w:rsidRPr="003568F0">
        <w:rPr>
          <w:sz w:val="24"/>
        </w:rPr>
        <w:t>C to a pressure of &lt; 1.33 × 10</w:t>
      </w:r>
      <w:r w:rsidRPr="003568F0">
        <w:rPr>
          <w:sz w:val="24"/>
          <w:vertAlign w:val="superscript"/>
        </w:rPr>
        <w:t>-2</w:t>
      </w:r>
      <w:r w:rsidRPr="003568F0">
        <w:rPr>
          <w:sz w:val="24"/>
        </w:rPr>
        <w:t xml:space="preserve"> Pa to ensure a clean, dry surface, free from any loosely bound adsorbed species.</w:t>
      </w:r>
    </w:p>
    <w:p w:rsidR="00BE422E" w:rsidRPr="003568F0" w:rsidRDefault="00BE422E" w:rsidP="00433D6D">
      <w:pPr>
        <w:pStyle w:val="TextFirstParagraph"/>
        <w:widowControl w:val="0"/>
        <w:spacing w:line="360" w:lineRule="auto"/>
        <w:ind w:firstLine="142"/>
        <w:rPr>
          <w:sz w:val="24"/>
        </w:rPr>
      </w:pPr>
      <w:r w:rsidRPr="003568F0">
        <w:rPr>
          <w:i/>
          <w:sz w:val="24"/>
        </w:rPr>
        <w:t>Contact Angle</w:t>
      </w:r>
      <w:r w:rsidRPr="003568F0">
        <w:rPr>
          <w:sz w:val="24"/>
        </w:rPr>
        <w:t xml:space="preserve"> was measured with a Kruss Instrument, Easy Drop model, laying drops of 0.1 </w:t>
      </w:r>
      <w:r w:rsidRPr="003568F0">
        <w:rPr>
          <w:sz w:val="24"/>
        </w:rPr>
        <w:sym w:font="Symbol" w:char="F06D"/>
      </w:r>
      <w:r w:rsidRPr="003568F0">
        <w:rPr>
          <w:sz w:val="24"/>
        </w:rPr>
        <w:t>L of water on the surface. The contact angle was estimated using the Laplace Young method.</w:t>
      </w:r>
      <w:r w:rsidR="00D46837" w:rsidRPr="003568F0">
        <w:rPr>
          <w:sz w:val="24"/>
        </w:rPr>
        <w:t xml:space="preserve"> Ten receptions were performed for each sample. Initial contact angle mean values with standard deviations were calculated.</w:t>
      </w:r>
    </w:p>
    <w:p w:rsidR="00BE422E" w:rsidRPr="003568F0" w:rsidRDefault="00BE422E" w:rsidP="00433D6D">
      <w:pPr>
        <w:pStyle w:val="TextFirstParagraph"/>
        <w:widowControl w:val="0"/>
        <w:spacing w:line="360" w:lineRule="auto"/>
        <w:ind w:firstLine="142"/>
        <w:rPr>
          <w:sz w:val="24"/>
        </w:rPr>
      </w:pPr>
    </w:p>
    <w:p w:rsidR="00BE422E" w:rsidRPr="003568F0" w:rsidRDefault="00BE422E" w:rsidP="00433D6D">
      <w:pPr>
        <w:pStyle w:val="TextFirstParagraph"/>
        <w:widowControl w:val="0"/>
        <w:spacing w:line="360" w:lineRule="auto"/>
        <w:ind w:firstLine="142"/>
        <w:rPr>
          <w:i/>
          <w:sz w:val="24"/>
        </w:rPr>
      </w:pPr>
      <w:r w:rsidRPr="003568F0">
        <w:rPr>
          <w:i/>
          <w:sz w:val="24"/>
        </w:rPr>
        <w:t>Photocatalytic activity measurements</w:t>
      </w:r>
    </w:p>
    <w:p w:rsidR="00BE422E" w:rsidRPr="003568F0" w:rsidRDefault="00BE422E" w:rsidP="00433D6D">
      <w:pPr>
        <w:pStyle w:val="TextFirstParagraph"/>
        <w:widowControl w:val="0"/>
        <w:spacing w:line="360" w:lineRule="auto"/>
        <w:ind w:firstLine="142"/>
        <w:rPr>
          <w:sz w:val="24"/>
        </w:rPr>
      </w:pPr>
      <w:r w:rsidRPr="003568F0">
        <w:rPr>
          <w:sz w:val="24"/>
        </w:rPr>
        <w:t xml:space="preserve">In order to determine the </w:t>
      </w:r>
      <w:r w:rsidRPr="003568F0">
        <w:rPr>
          <w:i/>
          <w:sz w:val="24"/>
        </w:rPr>
        <w:t>photocatalytic activity</w:t>
      </w:r>
      <w:r w:rsidRPr="003568F0">
        <w:rPr>
          <w:sz w:val="24"/>
        </w:rPr>
        <w:t xml:space="preserve"> of the cementitious materials, a certain amount of sample was deposited on a borosilicate glass slide,</w:t>
      </w:r>
      <w:r w:rsidR="007A128A" w:rsidRPr="003568F0">
        <w:rPr>
          <w:sz w:val="24"/>
        </w:rPr>
        <w:t xml:space="preserve"> </w:t>
      </w:r>
      <w:r w:rsidR="00D46837" w:rsidRPr="003568F0">
        <w:rPr>
          <w:sz w:val="24"/>
        </w:rPr>
        <w:t>as explained above</w:t>
      </w:r>
      <w:r w:rsidRPr="003568F0">
        <w:rPr>
          <w:sz w:val="24"/>
        </w:rPr>
        <w:t xml:space="preserve">. The samples were tested </w:t>
      </w:r>
      <w:r w:rsidR="00300C17" w:rsidRPr="003568F0">
        <w:rPr>
          <w:sz w:val="24"/>
        </w:rPr>
        <w:t>for</w:t>
      </w:r>
      <w:r w:rsidRPr="003568F0">
        <w:rPr>
          <w:sz w:val="24"/>
        </w:rPr>
        <w:t xml:space="preserve"> the photocatalytic degradation of trichloroethylene</w:t>
      </w:r>
      <w:r w:rsidR="00A710E2" w:rsidRPr="003568F0">
        <w:rPr>
          <w:sz w:val="24"/>
        </w:rPr>
        <w:t xml:space="preserve"> </w:t>
      </w:r>
      <w:r w:rsidRPr="003568F0">
        <w:rPr>
          <w:sz w:val="24"/>
        </w:rPr>
        <w:t>(C</w:t>
      </w:r>
      <w:r w:rsidRPr="003568F0">
        <w:rPr>
          <w:sz w:val="24"/>
          <w:vertAlign w:val="subscript"/>
        </w:rPr>
        <w:t>2</w:t>
      </w:r>
      <w:r w:rsidRPr="003568F0">
        <w:rPr>
          <w:sz w:val="24"/>
        </w:rPr>
        <w:t>HCl</w:t>
      </w:r>
      <w:r w:rsidRPr="003568F0">
        <w:rPr>
          <w:sz w:val="24"/>
          <w:vertAlign w:val="subscript"/>
        </w:rPr>
        <w:t>3</w:t>
      </w:r>
      <w:r w:rsidRPr="003568F0">
        <w:rPr>
          <w:sz w:val="24"/>
        </w:rPr>
        <w:t xml:space="preserve">) as a model volatile organic compound and </w:t>
      </w:r>
      <w:r w:rsidR="00300C17" w:rsidRPr="003568F0">
        <w:rPr>
          <w:sz w:val="24"/>
        </w:rPr>
        <w:t xml:space="preserve">for </w:t>
      </w:r>
      <w:r w:rsidRPr="003568F0">
        <w:rPr>
          <w:sz w:val="24"/>
        </w:rPr>
        <w:t xml:space="preserve">the </w:t>
      </w:r>
      <w:r w:rsidR="00300C17" w:rsidRPr="003568F0">
        <w:rPr>
          <w:sz w:val="24"/>
        </w:rPr>
        <w:t xml:space="preserve">photooxidation </w:t>
      </w:r>
      <w:r w:rsidRPr="003568F0">
        <w:rPr>
          <w:sz w:val="24"/>
        </w:rPr>
        <w:t xml:space="preserve">of nitric oxide </w:t>
      </w:r>
      <w:r w:rsidR="00787D51" w:rsidRPr="003568F0">
        <w:rPr>
          <w:sz w:val="24"/>
        </w:rPr>
        <w:t xml:space="preserve">(NO) </w:t>
      </w:r>
      <w:r w:rsidRPr="003568F0">
        <w:rPr>
          <w:sz w:val="24"/>
        </w:rPr>
        <w:t>in a</w:t>
      </w:r>
      <w:r w:rsidR="00787D51" w:rsidRPr="003568F0">
        <w:rPr>
          <w:rFonts w:asciiTheme="minorHAnsi" w:hAnsiTheme="minorHAnsi"/>
          <w:sz w:val="24"/>
        </w:rPr>
        <w:t xml:space="preserve"> </w:t>
      </w:r>
      <w:r w:rsidR="00300C17" w:rsidRPr="003568F0">
        <w:rPr>
          <w:sz w:val="24"/>
        </w:rPr>
        <w:t>one single pass</w:t>
      </w:r>
      <w:r w:rsidR="00300C17" w:rsidRPr="003568F0">
        <w:rPr>
          <w:rFonts w:asciiTheme="minorHAnsi" w:hAnsiTheme="minorHAnsi"/>
          <w:sz w:val="24"/>
        </w:rPr>
        <w:t xml:space="preserve"> </w:t>
      </w:r>
      <w:r w:rsidR="00787D51" w:rsidRPr="003568F0">
        <w:rPr>
          <w:sz w:val="24"/>
        </w:rPr>
        <w:t>fixed-bed continuous flow reactor</w:t>
      </w:r>
      <w:r w:rsidRPr="003568F0">
        <w:rPr>
          <w:sz w:val="24"/>
        </w:rPr>
        <w:t xml:space="preserve">, at a laboratory scale. </w:t>
      </w:r>
    </w:p>
    <w:p w:rsidR="00BE422E" w:rsidRPr="003568F0" w:rsidRDefault="00BE422E" w:rsidP="00433D6D">
      <w:pPr>
        <w:spacing w:line="360" w:lineRule="auto"/>
        <w:jc w:val="both"/>
        <w:rPr>
          <w:lang w:val="en-US"/>
        </w:rPr>
      </w:pPr>
      <w:r w:rsidRPr="003568F0">
        <w:t xml:space="preserve">The photocatalytic activity experiments were carried out in an automatic device, which allows automatic changes of reaction parameters, such as total flow and concentration of pollutant. Moreover, this system allows recording temperature, pressure and UV-A irradiation. </w:t>
      </w:r>
      <w:r w:rsidRPr="003568F0">
        <w:rPr>
          <w:lang w:val="en-US"/>
        </w:rPr>
        <w:t>Photocatalytic tests were conducted in a plate-type reactor with a glass window. The photocatalyst illumination was provided by two UV-A fluorescent lamps (4.4 mW·cm</w:t>
      </w:r>
      <w:r w:rsidRPr="003568F0">
        <w:rPr>
          <w:vertAlign w:val="superscript"/>
          <w:lang w:val="en-US"/>
        </w:rPr>
        <w:t>-2</w:t>
      </w:r>
      <w:r w:rsidRPr="003568F0">
        <w:rPr>
          <w:lang w:val="en-US"/>
        </w:rPr>
        <w:t xml:space="preserve">). </w:t>
      </w:r>
      <w:r w:rsidR="00493CBB" w:rsidRPr="003568F0">
        <w:rPr>
          <w:lang w:val="en-US"/>
        </w:rPr>
        <w:t>C</w:t>
      </w:r>
      <w:r w:rsidR="00493CBB" w:rsidRPr="003568F0">
        <w:rPr>
          <w:vertAlign w:val="subscript"/>
          <w:lang w:val="en-US"/>
        </w:rPr>
        <w:t>2</w:t>
      </w:r>
      <w:r w:rsidR="00493CBB" w:rsidRPr="003568F0">
        <w:rPr>
          <w:lang w:val="en-US"/>
        </w:rPr>
        <w:t>HCl</w:t>
      </w:r>
      <w:r w:rsidR="00493CBB" w:rsidRPr="003568F0">
        <w:rPr>
          <w:vertAlign w:val="subscript"/>
          <w:lang w:val="en-US"/>
        </w:rPr>
        <w:t>3</w:t>
      </w:r>
      <w:r w:rsidR="00493CBB" w:rsidRPr="003568F0">
        <w:rPr>
          <w:lang w:val="en-US"/>
        </w:rPr>
        <w:t>/N</w:t>
      </w:r>
      <w:r w:rsidR="00493CBB" w:rsidRPr="003568F0">
        <w:rPr>
          <w:vertAlign w:val="subscript"/>
          <w:lang w:val="en-US"/>
        </w:rPr>
        <w:t>2</w:t>
      </w:r>
      <w:r w:rsidR="00493CBB" w:rsidRPr="003568F0">
        <w:rPr>
          <w:lang w:val="en-US"/>
        </w:rPr>
        <w:t xml:space="preserve"> </w:t>
      </w:r>
      <w:r w:rsidR="007A128A" w:rsidRPr="003568F0">
        <w:rPr>
          <w:lang w:val="en-US"/>
        </w:rPr>
        <w:t xml:space="preserve">(100 ppm) </w:t>
      </w:r>
      <w:r w:rsidR="00493CBB" w:rsidRPr="003568F0">
        <w:rPr>
          <w:lang w:val="en-US"/>
        </w:rPr>
        <w:t>or NO/N</w:t>
      </w:r>
      <w:r w:rsidR="00493CBB" w:rsidRPr="003568F0">
        <w:rPr>
          <w:vertAlign w:val="subscript"/>
          <w:lang w:val="en-US"/>
        </w:rPr>
        <w:t>2</w:t>
      </w:r>
      <w:r w:rsidR="00493CBB" w:rsidRPr="003568F0">
        <w:rPr>
          <w:lang w:val="en-US"/>
        </w:rPr>
        <w:t xml:space="preserve"> </w:t>
      </w:r>
      <w:r w:rsidR="007A128A" w:rsidRPr="003568F0">
        <w:rPr>
          <w:lang w:val="en-US"/>
        </w:rPr>
        <w:t xml:space="preserve">(50 ppm) </w:t>
      </w:r>
      <w:r w:rsidR="00493CBB" w:rsidRPr="003568F0">
        <w:rPr>
          <w:lang w:val="en-US"/>
        </w:rPr>
        <w:t xml:space="preserve">gas cylinders (Air Liquid) and </w:t>
      </w:r>
      <w:r w:rsidR="00300C17" w:rsidRPr="003568F0">
        <w:rPr>
          <w:lang w:val="en-US"/>
        </w:rPr>
        <w:t xml:space="preserve">pure </w:t>
      </w:r>
      <w:r w:rsidR="00493CBB" w:rsidRPr="003568F0">
        <w:rPr>
          <w:lang w:val="en-US"/>
        </w:rPr>
        <w:t>air free of water and CO</w:t>
      </w:r>
      <w:r w:rsidR="00493CBB" w:rsidRPr="003568F0">
        <w:rPr>
          <w:vertAlign w:val="subscript"/>
          <w:lang w:val="en-US"/>
        </w:rPr>
        <w:t>2</w:t>
      </w:r>
      <w:r w:rsidR="00493CBB" w:rsidRPr="003568F0">
        <w:rPr>
          <w:lang w:val="en-US"/>
        </w:rPr>
        <w:t xml:space="preserve"> were used. A FTIR Thermo-Nicolet 5700 spectrometer, equipped with a temperature controller multiple reflection gas cell (optical path 2 m) maintained a 110ºC, allows the measurement of the </w:t>
      </w:r>
      <w:r w:rsidRPr="003568F0">
        <w:rPr>
          <w:lang w:val="en-US"/>
        </w:rPr>
        <w:t xml:space="preserve"> gas composition</w:t>
      </w:r>
      <w:r w:rsidR="00493CBB" w:rsidRPr="003568F0">
        <w:rPr>
          <w:lang w:val="en-US"/>
        </w:rPr>
        <w:t xml:space="preserve"> with reaction time</w:t>
      </w:r>
      <w:r w:rsidRPr="003568F0">
        <w:rPr>
          <w:lang w:val="en-US"/>
        </w:rPr>
        <w:t xml:space="preserve"> . The variation of C</w:t>
      </w:r>
      <w:r w:rsidRPr="003568F0">
        <w:rPr>
          <w:vertAlign w:val="subscript"/>
          <w:lang w:val="en-US"/>
        </w:rPr>
        <w:t>2</w:t>
      </w:r>
      <w:r w:rsidRPr="003568F0">
        <w:rPr>
          <w:lang w:val="en-US"/>
        </w:rPr>
        <w:t>HCl</w:t>
      </w:r>
      <w:r w:rsidRPr="003568F0">
        <w:rPr>
          <w:vertAlign w:val="subscript"/>
          <w:lang w:val="en-US"/>
        </w:rPr>
        <w:t>3</w:t>
      </w:r>
      <w:r w:rsidRPr="003568F0">
        <w:rPr>
          <w:lang w:val="en-US"/>
        </w:rPr>
        <w:t xml:space="preserve"> and CO</w:t>
      </w:r>
      <w:r w:rsidRPr="003568F0">
        <w:rPr>
          <w:vertAlign w:val="subscript"/>
          <w:lang w:val="en-US"/>
        </w:rPr>
        <w:t>2</w:t>
      </w:r>
      <w:r w:rsidRPr="003568F0">
        <w:rPr>
          <w:lang w:val="en-US"/>
        </w:rPr>
        <w:t xml:space="preserve"> concentration with reaction time was evaluated as previously reported </w:t>
      </w:r>
      <w:r w:rsidRPr="003568F0">
        <w:rPr>
          <w:noProof/>
          <w:lang w:val="en-US"/>
        </w:rPr>
        <w:t>(Suárez et al. 2008)</w:t>
      </w:r>
      <w:r w:rsidRPr="003568F0">
        <w:rPr>
          <w:lang w:val="en-US"/>
        </w:rPr>
        <w:t xml:space="preserve">. </w:t>
      </w:r>
      <w:r w:rsidR="002F6AB0" w:rsidRPr="003568F0">
        <w:rPr>
          <w:lang w:val="en-US"/>
        </w:rPr>
        <w:t>A</w:t>
      </w:r>
      <w:r w:rsidR="009806DC" w:rsidRPr="003568F0">
        <w:rPr>
          <w:lang w:val="en-US"/>
        </w:rPr>
        <w:t xml:space="preserve"> scheme of the experimental </w:t>
      </w:r>
      <w:r w:rsidR="009806DC" w:rsidRPr="003568F0">
        <w:rPr>
          <w:lang w:val="en-US"/>
        </w:rPr>
        <w:lastRenderedPageBreak/>
        <w:t xml:space="preserve">system used is described elsewhere (Jansson et al. 2017). </w:t>
      </w:r>
      <w:r w:rsidRPr="003568F0">
        <w:rPr>
          <w:lang w:val="en-US"/>
        </w:rPr>
        <w:t>The analysis of the NO, NO</w:t>
      </w:r>
      <w:r w:rsidRPr="003568F0">
        <w:rPr>
          <w:vertAlign w:val="subscript"/>
          <w:lang w:val="en-US"/>
        </w:rPr>
        <w:t>2</w:t>
      </w:r>
      <w:r w:rsidRPr="003568F0">
        <w:rPr>
          <w:lang w:val="en-US"/>
        </w:rPr>
        <w:t xml:space="preserve"> and N</w:t>
      </w:r>
      <w:r w:rsidRPr="003568F0">
        <w:rPr>
          <w:vertAlign w:val="subscript"/>
          <w:lang w:val="en-US"/>
        </w:rPr>
        <w:t>2</w:t>
      </w:r>
      <w:r w:rsidRPr="003568F0">
        <w:rPr>
          <w:lang w:val="en-US"/>
        </w:rPr>
        <w:t>O signal was performed by following the evolution of the representative vibrational bands of the desired molecules at the following wavenumbers: NO (1953-1878 cm</w:t>
      </w:r>
      <w:r w:rsidRPr="003568F0">
        <w:rPr>
          <w:vertAlign w:val="superscript"/>
          <w:lang w:val="en-US"/>
        </w:rPr>
        <w:t>−1</w:t>
      </w:r>
      <w:r w:rsidRPr="003568F0">
        <w:rPr>
          <w:lang w:val="en-US"/>
        </w:rPr>
        <w:t>), NO</w:t>
      </w:r>
      <w:r w:rsidRPr="003568F0">
        <w:rPr>
          <w:vertAlign w:val="subscript"/>
          <w:lang w:val="en-US"/>
        </w:rPr>
        <w:t>2</w:t>
      </w:r>
      <w:r w:rsidRPr="003568F0">
        <w:rPr>
          <w:lang w:val="en-US"/>
        </w:rPr>
        <w:t xml:space="preserve"> (1662-1550 cm</w:t>
      </w:r>
      <w:r w:rsidRPr="003568F0">
        <w:rPr>
          <w:vertAlign w:val="superscript"/>
          <w:lang w:val="en-US"/>
        </w:rPr>
        <w:t>−1</w:t>
      </w:r>
      <w:r w:rsidRPr="003568F0">
        <w:rPr>
          <w:lang w:val="en-US"/>
        </w:rPr>
        <w:t>) and N</w:t>
      </w:r>
      <w:r w:rsidRPr="003568F0">
        <w:rPr>
          <w:vertAlign w:val="subscript"/>
          <w:lang w:val="en-US"/>
        </w:rPr>
        <w:t>2</w:t>
      </w:r>
      <w:r w:rsidRPr="003568F0">
        <w:rPr>
          <w:lang w:val="en-US"/>
        </w:rPr>
        <w:t>O (2272-2144 cm</w:t>
      </w:r>
      <w:r w:rsidRPr="003568F0">
        <w:rPr>
          <w:vertAlign w:val="superscript"/>
          <w:lang w:val="en-US"/>
        </w:rPr>
        <w:t>-1</w:t>
      </w:r>
      <w:r w:rsidRPr="003568F0">
        <w:rPr>
          <w:lang w:val="en-US"/>
        </w:rPr>
        <w:t>). The actual concentration of nitrogen oxides was evaluated against calibration mixtures provided by Air Liquide.</w:t>
      </w:r>
      <w:r w:rsidR="009806DC" w:rsidRPr="003568F0">
        <w:rPr>
          <w:lang w:val="en-US"/>
        </w:rPr>
        <w:t xml:space="preserve"> </w:t>
      </w:r>
    </w:p>
    <w:p w:rsidR="00BE422E" w:rsidRPr="003568F0" w:rsidRDefault="00BE422E" w:rsidP="00433D6D">
      <w:pPr>
        <w:spacing w:line="360" w:lineRule="auto"/>
        <w:ind w:firstLine="708"/>
        <w:jc w:val="both"/>
        <w:rPr>
          <w:lang w:val="en-US"/>
        </w:rPr>
      </w:pPr>
      <w:r w:rsidRPr="003568F0">
        <w:rPr>
          <w:lang w:val="en-US"/>
        </w:rPr>
        <w:t>Moreover, the sample with the best photocatalytic performance was further stud</w:t>
      </w:r>
      <w:r w:rsidR="006B40CB" w:rsidRPr="003568F0">
        <w:rPr>
          <w:lang w:val="en-US"/>
        </w:rPr>
        <w:t>i</w:t>
      </w:r>
      <w:r w:rsidR="007E2218" w:rsidRPr="003568F0">
        <w:rPr>
          <w:lang w:val="en-US"/>
        </w:rPr>
        <w:t>ed</w:t>
      </w:r>
      <w:r w:rsidRPr="003568F0">
        <w:rPr>
          <w:lang w:val="en-US"/>
        </w:rPr>
        <w:t xml:space="preserve"> u</w:t>
      </w:r>
      <w:r w:rsidR="006B40CB" w:rsidRPr="003568F0">
        <w:rPr>
          <w:lang w:val="en-US"/>
        </w:rPr>
        <w:t>nder the conditions described in</w:t>
      </w:r>
      <w:r w:rsidRPr="003568F0">
        <w:rPr>
          <w:lang w:val="en-US"/>
        </w:rPr>
        <w:t xml:space="preserve"> the </w:t>
      </w:r>
      <w:r w:rsidR="008934F7" w:rsidRPr="003568F0">
        <w:t>ISO 22197-1:2007</w:t>
      </w:r>
      <w:r w:rsidRPr="003568F0">
        <w:rPr>
          <w:lang w:val="en-US"/>
        </w:rPr>
        <w:t xml:space="preserve">. </w:t>
      </w:r>
      <w:r w:rsidR="00493CBB" w:rsidRPr="003568F0">
        <w:rPr>
          <w:lang w:val="en-US"/>
        </w:rPr>
        <w:t>T</w:t>
      </w:r>
      <w:r w:rsidR="002F6AB0" w:rsidRPr="003568F0">
        <w:rPr>
          <w:lang w:val="en-US"/>
        </w:rPr>
        <w:t>he experimental device is</w:t>
      </w:r>
      <w:r w:rsidR="00493CBB" w:rsidRPr="003568F0">
        <w:rPr>
          <w:lang w:val="en-US"/>
        </w:rPr>
        <w:t xml:space="preserve"> </w:t>
      </w:r>
      <w:r w:rsidR="002F6AB0" w:rsidRPr="003568F0">
        <w:rPr>
          <w:lang w:val="en-US"/>
        </w:rPr>
        <w:t xml:space="preserve">similar to the previous one, but it was designed for larger gas flows. </w:t>
      </w:r>
      <w:r w:rsidR="007A128A" w:rsidRPr="003568F0">
        <w:rPr>
          <w:lang w:val="en-US"/>
        </w:rPr>
        <w:t xml:space="preserve">In this case, </w:t>
      </w:r>
      <w:r w:rsidR="00AF23A5" w:rsidRPr="003568F0">
        <w:rPr>
          <w:lang w:val="en-US"/>
        </w:rPr>
        <w:t xml:space="preserve">NO concentration was supplied by a </w:t>
      </w:r>
      <w:r w:rsidR="006B40CB" w:rsidRPr="003568F0">
        <w:rPr>
          <w:lang w:val="en-US"/>
        </w:rPr>
        <w:t xml:space="preserve">100 ppm </w:t>
      </w:r>
      <w:r w:rsidR="007A128A" w:rsidRPr="003568F0">
        <w:rPr>
          <w:lang w:val="en-US"/>
        </w:rPr>
        <w:t>NO/N</w:t>
      </w:r>
      <w:r w:rsidR="007A128A" w:rsidRPr="003568F0">
        <w:rPr>
          <w:vertAlign w:val="subscript"/>
          <w:lang w:val="en-US"/>
        </w:rPr>
        <w:t>2</w:t>
      </w:r>
      <w:r w:rsidR="007A128A" w:rsidRPr="003568F0">
        <w:rPr>
          <w:lang w:val="en-US"/>
        </w:rPr>
        <w:t xml:space="preserve"> gas cylinder. </w:t>
      </w:r>
      <w:r w:rsidRPr="003568F0">
        <w:rPr>
          <w:lang w:val="en-US"/>
        </w:rPr>
        <w:t>The photocatalytic reactor and the dimensions of the test</w:t>
      </w:r>
      <w:r w:rsidR="006B40CB" w:rsidRPr="003568F0">
        <w:rPr>
          <w:lang w:val="en-US"/>
        </w:rPr>
        <w:t xml:space="preserve"> tube were the ones described in</w:t>
      </w:r>
      <w:r w:rsidRPr="003568F0">
        <w:rPr>
          <w:lang w:val="en-US"/>
        </w:rPr>
        <w:t xml:space="preserve"> the standard. </w:t>
      </w:r>
      <w:r w:rsidR="007E2218" w:rsidRPr="003568F0">
        <w:rPr>
          <w:lang w:val="en-US"/>
        </w:rPr>
        <w:t>S</w:t>
      </w:r>
      <w:r w:rsidR="00AF23A5" w:rsidRPr="003568F0">
        <w:rPr>
          <w:lang w:val="en-US"/>
        </w:rPr>
        <w:t>amples were</w:t>
      </w:r>
      <w:r w:rsidR="007E2218" w:rsidRPr="003568F0">
        <w:rPr>
          <w:lang w:val="en-US"/>
        </w:rPr>
        <w:t xml:space="preserve"> pretreated under UV-A and air flow during 12 h. </w:t>
      </w:r>
      <w:r w:rsidRPr="003568F0">
        <w:rPr>
          <w:lang w:val="en-US"/>
        </w:rPr>
        <w:t xml:space="preserve">The NO and NOx concentration was measured by a chemiluminiscence NOx </w:t>
      </w:r>
      <w:r w:rsidR="007C433E" w:rsidRPr="003568F0">
        <w:rPr>
          <w:lang w:val="en-US"/>
        </w:rPr>
        <w:t>analyser</w:t>
      </w:r>
      <w:r w:rsidRPr="003568F0">
        <w:rPr>
          <w:lang w:val="en-US"/>
        </w:rPr>
        <w:t xml:space="preserve"> (Signal Ambitech 447 NOx analyser). The photocatalytic activity was analysed at total gas flow 3,000 mL min</w:t>
      </w:r>
      <w:r w:rsidRPr="003568F0">
        <w:rPr>
          <w:vertAlign w:val="superscript"/>
          <w:lang w:val="en-US"/>
        </w:rPr>
        <w:t>-1</w:t>
      </w:r>
      <w:r w:rsidRPr="003568F0">
        <w:rPr>
          <w:lang w:val="en-US"/>
        </w:rPr>
        <w:t>, 1</w:t>
      </w:r>
      <w:r w:rsidR="00493CBB" w:rsidRPr="003568F0">
        <w:rPr>
          <w:lang w:val="en-US"/>
        </w:rPr>
        <w:t>,000</w:t>
      </w:r>
      <w:r w:rsidRPr="003568F0">
        <w:rPr>
          <w:lang w:val="en-US"/>
        </w:rPr>
        <w:t xml:space="preserve"> pp</w:t>
      </w:r>
      <w:r w:rsidR="00493CBB" w:rsidRPr="003568F0">
        <w:rPr>
          <w:lang w:val="en-US"/>
        </w:rPr>
        <w:t>b</w:t>
      </w:r>
      <w:r w:rsidRPr="003568F0">
        <w:rPr>
          <w:lang w:val="en-US"/>
        </w:rPr>
        <w:t xml:space="preserve"> NO concentration 50 % relative humidity and 10 W m</w:t>
      </w:r>
      <w:r w:rsidRPr="003568F0">
        <w:rPr>
          <w:vertAlign w:val="superscript"/>
          <w:lang w:val="en-US"/>
        </w:rPr>
        <w:t>-2</w:t>
      </w:r>
      <w:r w:rsidRPr="003568F0">
        <w:rPr>
          <w:lang w:val="en-US"/>
        </w:rPr>
        <w:t xml:space="preserve"> UV-A irradiation. The photocatalytic activity was evaluated during 300 min reaction time. </w:t>
      </w:r>
    </w:p>
    <w:p w:rsidR="00BE422E" w:rsidRPr="003568F0" w:rsidRDefault="00BE422E" w:rsidP="00433D6D">
      <w:pPr>
        <w:spacing w:line="360" w:lineRule="auto"/>
        <w:jc w:val="both"/>
        <w:rPr>
          <w:b/>
        </w:rPr>
      </w:pPr>
    </w:p>
    <w:p w:rsidR="00BE422E" w:rsidRPr="003568F0" w:rsidRDefault="00BE422E" w:rsidP="00433D6D">
      <w:pPr>
        <w:spacing w:line="360" w:lineRule="auto"/>
        <w:jc w:val="both"/>
        <w:rPr>
          <w:b/>
        </w:rPr>
      </w:pPr>
      <w:r w:rsidRPr="003568F0">
        <w:rPr>
          <w:b/>
        </w:rPr>
        <w:t>Result and Discussion</w:t>
      </w:r>
    </w:p>
    <w:p w:rsidR="00BE422E" w:rsidRPr="003568F0" w:rsidRDefault="00BE422E" w:rsidP="00433D6D">
      <w:pPr>
        <w:spacing w:line="360" w:lineRule="auto"/>
        <w:jc w:val="both"/>
        <w:rPr>
          <w:b/>
        </w:rPr>
      </w:pPr>
    </w:p>
    <w:p w:rsidR="00BE422E" w:rsidRPr="003568F0" w:rsidRDefault="00BE422E" w:rsidP="00433D6D">
      <w:pPr>
        <w:spacing w:line="360" w:lineRule="auto"/>
        <w:jc w:val="both"/>
        <w:rPr>
          <w:b/>
        </w:rPr>
      </w:pPr>
      <w:r w:rsidRPr="003568F0">
        <w:rPr>
          <w:b/>
        </w:rPr>
        <w:t>Photocatalysts characterization</w:t>
      </w:r>
    </w:p>
    <w:p w:rsidR="00BE422E" w:rsidRPr="003568F0" w:rsidRDefault="00BE422E" w:rsidP="00433D6D">
      <w:pPr>
        <w:pStyle w:val="TextFirstParagraph"/>
        <w:widowControl w:val="0"/>
        <w:spacing w:line="360" w:lineRule="auto"/>
        <w:ind w:firstLine="142"/>
        <w:rPr>
          <w:sz w:val="24"/>
        </w:rPr>
      </w:pPr>
      <w:r w:rsidRPr="003568F0">
        <w:rPr>
          <w:sz w:val="24"/>
        </w:rPr>
        <w:t>Different techniques characterised the two types of commercial cementitious powder samples in order to determine the possible influence of the physico-chemical properties in the photocatalytic efficiency. According to EDX analysis, calcium and silicon were detected as main components, with aluminium, magnesium, sulphur and iron present as minority elements (Figure 1a). In Table 1, the composition of the cementitious materials expressed as oxide is shown. The data reveal that the composition depends on the nature of the sample with an amount of CaO varying from 42% to 56 wt.% and SiO</w:t>
      </w:r>
      <w:r w:rsidRPr="003568F0">
        <w:rPr>
          <w:sz w:val="24"/>
          <w:vertAlign w:val="subscript"/>
        </w:rPr>
        <w:t>2</w:t>
      </w:r>
      <w:r w:rsidRPr="003568F0">
        <w:rPr>
          <w:sz w:val="24"/>
        </w:rPr>
        <w:t xml:space="preserve"> with loadings of 24.8 wt.% and 17.2 wt.% for CEM-A and CEM-B respectively. Low concentrations of KOH and NaOH were detected with values lower than 1wt.%. As it can be observed TiO</w:t>
      </w:r>
      <w:r w:rsidRPr="003568F0">
        <w:rPr>
          <w:sz w:val="24"/>
          <w:vertAlign w:val="subscript"/>
        </w:rPr>
        <w:t>2</w:t>
      </w:r>
      <w:r w:rsidRPr="003568F0">
        <w:rPr>
          <w:sz w:val="24"/>
        </w:rPr>
        <w:t xml:space="preserve"> was detected in both samples and represent a 10 or 7 wt% of the total composition for CEM-Ti-A and CEM-Ti-B respectively.</w:t>
      </w:r>
    </w:p>
    <w:p w:rsidR="00BE422E" w:rsidRPr="003568F0" w:rsidRDefault="00BE422E" w:rsidP="00433D6D">
      <w:pPr>
        <w:pStyle w:val="TextFirstParagraph"/>
        <w:widowControl w:val="0"/>
        <w:spacing w:line="360" w:lineRule="auto"/>
        <w:ind w:firstLine="142"/>
        <w:rPr>
          <w:sz w:val="24"/>
        </w:rPr>
      </w:pPr>
    </w:p>
    <w:p w:rsidR="00BE422E" w:rsidRPr="003568F0" w:rsidRDefault="00BE422E" w:rsidP="00433D6D">
      <w:pPr>
        <w:pStyle w:val="TextFirstParagraph"/>
        <w:widowControl w:val="0"/>
        <w:spacing w:line="360" w:lineRule="auto"/>
        <w:ind w:firstLine="142"/>
        <w:rPr>
          <w:sz w:val="24"/>
        </w:rPr>
      </w:pPr>
      <w:r w:rsidRPr="003568F0">
        <w:rPr>
          <w:sz w:val="24"/>
        </w:rPr>
        <w:t xml:space="preserve">These materials were also analysed by SEM microscopy. Both samples presented similar micrographs with analogous particle morphology. In Figure 1 is shown an </w:t>
      </w:r>
      <w:r w:rsidRPr="003568F0">
        <w:rPr>
          <w:sz w:val="24"/>
        </w:rPr>
        <w:lastRenderedPageBreak/>
        <w:t xml:space="preserve">example of the general aspect of the CEM-Ti-B. The two samples present irregular agglomerates covered with small spheres particles ascribed to calcite and clays. Moreover, </w:t>
      </w:r>
      <w:r w:rsidR="00D55F34" w:rsidRPr="003568F0">
        <w:rPr>
          <w:sz w:val="24"/>
        </w:rPr>
        <w:t xml:space="preserve">rods </w:t>
      </w:r>
      <w:r w:rsidRPr="003568F0">
        <w:rPr>
          <w:sz w:val="24"/>
        </w:rPr>
        <w:t>of different sizes mainly based on silica were detected (Figure 1 a right). According to the EDX analysis TiO</w:t>
      </w:r>
      <w:r w:rsidRPr="003568F0">
        <w:rPr>
          <w:sz w:val="24"/>
          <w:vertAlign w:val="subscript"/>
        </w:rPr>
        <w:t>2</w:t>
      </w:r>
      <w:r w:rsidRPr="003568F0">
        <w:rPr>
          <w:sz w:val="24"/>
        </w:rPr>
        <w:t xml:space="preserve"> was well dispersed on the surface and at this magnification was not possible to distinguish the particle size. The general aspect of the photo-asphalt test tubes is depicted in Figure 1b, where white particles associated with calcium oxide and silica were detected. Moreover, holes around 20-40 </w:t>
      </w:r>
      <w:r w:rsidRPr="003568F0">
        <w:rPr>
          <w:rFonts w:ascii="Calibri" w:hAnsi="Calibri"/>
          <w:sz w:val="24"/>
        </w:rPr>
        <w:t>µ</w:t>
      </w:r>
      <w:r w:rsidRPr="003568F0">
        <w:rPr>
          <w:sz w:val="24"/>
        </w:rPr>
        <w:t>m were observed for CEM-Ti-B (Figure 1b right). A good dispersion of the TiO</w:t>
      </w:r>
      <w:r w:rsidRPr="003568F0">
        <w:rPr>
          <w:sz w:val="24"/>
          <w:vertAlign w:val="subscript"/>
        </w:rPr>
        <w:t>2</w:t>
      </w:r>
      <w:r w:rsidRPr="003568F0">
        <w:rPr>
          <w:sz w:val="24"/>
        </w:rPr>
        <w:t xml:space="preserve"> phase through the asphalt matrix was detected for all exanimated samples.</w:t>
      </w:r>
    </w:p>
    <w:p w:rsidR="00BE422E" w:rsidRPr="003568F0" w:rsidRDefault="00BE422E" w:rsidP="00433D6D">
      <w:pPr>
        <w:pStyle w:val="FigureCaption"/>
        <w:widowControl w:val="0"/>
        <w:jc w:val="left"/>
        <w:outlineLvl w:val="0"/>
        <w:rPr>
          <w:b/>
        </w:rPr>
      </w:pPr>
      <w:r w:rsidRPr="003568F0">
        <w:rPr>
          <w:b/>
        </w:rPr>
        <w:t>a)</w:t>
      </w:r>
    </w:p>
    <w:p w:rsidR="00BE422E" w:rsidRPr="003568F0" w:rsidRDefault="00165CFA" w:rsidP="00433D6D">
      <w:pPr>
        <w:pStyle w:val="FigureCaption"/>
        <w:widowControl w:val="0"/>
        <w:jc w:val="left"/>
        <w:outlineLvl w:val="0"/>
      </w:pPr>
      <w:r w:rsidRPr="003568F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0.5pt;height:145.5pt">
            <v:imagedata r:id="rId7" o:title=""/>
          </v:shape>
        </w:pict>
      </w:r>
      <w:r w:rsidR="00BE422E" w:rsidRPr="003568F0">
        <w:tab/>
      </w:r>
      <w:r w:rsidRPr="003568F0">
        <w:pict>
          <v:shape id="_x0000_i1026" type="#_x0000_t75" style="width:108.5pt;height:145.5pt">
            <v:imagedata r:id="rId8" o:title=""/>
          </v:shape>
        </w:pict>
      </w:r>
      <w:r w:rsidR="00BE422E" w:rsidRPr="003568F0">
        <w:tab/>
      </w:r>
      <w:r w:rsidRPr="003568F0">
        <w:pict>
          <v:shape id="_x0000_i1027" type="#_x0000_t75" style="width:109.5pt;height:145pt">
            <v:imagedata r:id="rId9" o:title=""/>
          </v:shape>
        </w:pict>
      </w:r>
    </w:p>
    <w:p w:rsidR="00BE422E" w:rsidRPr="003568F0" w:rsidRDefault="00BE422E" w:rsidP="00433D6D">
      <w:pPr>
        <w:pStyle w:val="FigureCaption"/>
        <w:widowControl w:val="0"/>
        <w:jc w:val="left"/>
        <w:outlineLvl w:val="0"/>
      </w:pPr>
    </w:p>
    <w:p w:rsidR="00BE422E" w:rsidRPr="003568F0" w:rsidRDefault="00BE422E" w:rsidP="00433D6D">
      <w:pPr>
        <w:pStyle w:val="FigureCaption"/>
        <w:widowControl w:val="0"/>
        <w:jc w:val="left"/>
        <w:outlineLvl w:val="0"/>
      </w:pPr>
    </w:p>
    <w:p w:rsidR="00BE422E" w:rsidRPr="003568F0" w:rsidRDefault="0004218F" w:rsidP="00433D6D">
      <w:pPr>
        <w:pStyle w:val="FigureCaption"/>
        <w:widowControl w:val="0"/>
        <w:jc w:val="left"/>
        <w:outlineLvl w:val="0"/>
      </w:pPr>
      <w:r w:rsidRPr="003568F0">
        <w:rPr>
          <w:noProof/>
          <w:lang w:val="es-ES" w:eastAsia="es-ES"/>
        </w:rPr>
        <w:drawing>
          <wp:inline distT="0" distB="0" distL="0" distR="0" wp14:anchorId="7971BD4F">
            <wp:extent cx="4773850" cy="3461337"/>
            <wp:effectExtent l="0" t="0" r="825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76919" cy="3463562"/>
                    </a:xfrm>
                    <a:prstGeom prst="rect">
                      <a:avLst/>
                    </a:prstGeom>
                    <a:noFill/>
                  </pic:spPr>
                </pic:pic>
              </a:graphicData>
            </a:graphic>
          </wp:inline>
        </w:drawing>
      </w:r>
    </w:p>
    <w:p w:rsidR="00BE422E" w:rsidRPr="003568F0" w:rsidRDefault="00BE422E" w:rsidP="00433D6D">
      <w:pPr>
        <w:pStyle w:val="FigureCaption"/>
        <w:widowControl w:val="0"/>
        <w:jc w:val="left"/>
        <w:outlineLvl w:val="0"/>
      </w:pPr>
    </w:p>
    <w:p w:rsidR="006B40CB" w:rsidRPr="003568F0" w:rsidRDefault="006B40CB" w:rsidP="00433D6D">
      <w:pPr>
        <w:pStyle w:val="FigureCaption"/>
        <w:widowControl w:val="0"/>
        <w:jc w:val="left"/>
        <w:outlineLvl w:val="0"/>
      </w:pPr>
    </w:p>
    <w:p w:rsidR="006B40CB" w:rsidRPr="003568F0" w:rsidRDefault="006B40CB" w:rsidP="00433D6D">
      <w:pPr>
        <w:pStyle w:val="FigureCaption"/>
        <w:widowControl w:val="0"/>
        <w:jc w:val="left"/>
        <w:outlineLvl w:val="0"/>
      </w:pPr>
    </w:p>
    <w:p w:rsidR="006B40CB" w:rsidRPr="003568F0" w:rsidRDefault="006B40CB" w:rsidP="00433D6D">
      <w:pPr>
        <w:pStyle w:val="FigureCaption"/>
        <w:widowControl w:val="0"/>
        <w:jc w:val="left"/>
        <w:outlineLvl w:val="0"/>
      </w:pPr>
    </w:p>
    <w:p w:rsidR="00BE422E" w:rsidRPr="003568F0" w:rsidRDefault="00BE422E" w:rsidP="00433D6D">
      <w:pPr>
        <w:pStyle w:val="FigureCaption"/>
        <w:widowControl w:val="0"/>
        <w:jc w:val="left"/>
        <w:outlineLvl w:val="0"/>
        <w:rPr>
          <w:b/>
        </w:rPr>
      </w:pPr>
      <w:r w:rsidRPr="003568F0">
        <w:rPr>
          <w:b/>
        </w:rPr>
        <w:t>b)</w:t>
      </w:r>
    </w:p>
    <w:p w:rsidR="00BE422E" w:rsidRPr="003568F0" w:rsidRDefault="00BE422E" w:rsidP="00433D6D">
      <w:pPr>
        <w:pStyle w:val="FigureCaption"/>
        <w:widowControl w:val="0"/>
        <w:jc w:val="left"/>
        <w:outlineLvl w:val="0"/>
        <w:rPr>
          <w:b/>
        </w:rPr>
      </w:pPr>
    </w:p>
    <w:p w:rsidR="00BE422E" w:rsidRPr="003568F0" w:rsidRDefault="00BE422E" w:rsidP="00433D6D">
      <w:pPr>
        <w:pStyle w:val="FigureCaption"/>
        <w:widowControl w:val="0"/>
        <w:jc w:val="left"/>
        <w:outlineLvl w:val="0"/>
        <w:rPr>
          <w:rFonts w:ascii="Times New Roman" w:hAnsi="Times New Roman" w:cs="Times New Roman"/>
          <w:b/>
          <w:sz w:val="24"/>
          <w:szCs w:val="24"/>
          <w:lang w:val="en-GB"/>
        </w:rPr>
      </w:pPr>
      <w:r w:rsidRPr="003568F0">
        <w:tab/>
      </w:r>
      <w:r w:rsidR="003568F0" w:rsidRPr="003568F0">
        <w:rPr>
          <w:noProof/>
        </w:rPr>
        <w:pict>
          <v:shape id="_x0000_s1029" type="#_x0000_t75" style="position:absolute;margin-left:148.7pt;margin-top:-9.55pt;width:120.65pt;height:161.4pt;z-index:251661312;mso-position-horizontal-relative:text;mso-position-vertical-relative:text">
            <v:imagedata r:id="rId11" o:title=""/>
          </v:shape>
        </w:pict>
      </w:r>
      <w:r w:rsidR="003568F0" w:rsidRPr="003568F0">
        <w:rPr>
          <w:noProof/>
          <w:lang w:val="es-ES" w:eastAsia="es-ES"/>
        </w:rPr>
        <w:pict>
          <v:shape id="Picture 9595" o:spid="_x0000_s1028" type="#_x0000_t75" style="position:absolute;margin-left:57.55pt;margin-top:-9.55pt;width:81pt;height:68.75pt;z-index:251660288;visibility:visible;mso-position-horizontal-relative:text;mso-position-vertical-relative:text">
            <v:imagedata r:id="rId12" o:title="" cropleft="2629f"/>
          </v:shape>
        </w:pict>
      </w:r>
      <w:r w:rsidR="003568F0" w:rsidRPr="003568F0">
        <w:rPr>
          <w:noProof/>
        </w:rPr>
        <w:pict>
          <v:shape id="_x0000_s1027" type="#_x0000_t75" style="position:absolute;margin-left:18pt;margin-top:-9.55pt;width:120.55pt;height:161.4pt;z-index:251659264;mso-position-horizontal-relative:text;mso-position-vertical-relative:text">
            <v:imagedata r:id="rId13" o:title=""/>
          </v:shape>
        </w:pict>
      </w:r>
    </w:p>
    <w:p w:rsidR="006B40CB" w:rsidRPr="003568F0" w:rsidRDefault="006B40CB" w:rsidP="00DC3BF0">
      <w:pPr>
        <w:pStyle w:val="FigureCaption"/>
        <w:widowControl w:val="0"/>
        <w:outlineLvl w:val="0"/>
        <w:rPr>
          <w:rFonts w:ascii="Times New Roman" w:hAnsi="Times New Roman" w:cs="Times New Roman"/>
          <w:b/>
          <w:sz w:val="24"/>
          <w:szCs w:val="24"/>
          <w:lang w:val="en-GB"/>
        </w:rPr>
      </w:pPr>
    </w:p>
    <w:p w:rsidR="006B40CB" w:rsidRPr="003568F0" w:rsidRDefault="006B40CB" w:rsidP="00DC3BF0">
      <w:pPr>
        <w:pStyle w:val="FigureCaption"/>
        <w:widowControl w:val="0"/>
        <w:outlineLvl w:val="0"/>
        <w:rPr>
          <w:rFonts w:ascii="Times New Roman" w:hAnsi="Times New Roman" w:cs="Times New Roman"/>
          <w:b/>
          <w:sz w:val="24"/>
          <w:szCs w:val="24"/>
          <w:lang w:val="en-GB"/>
        </w:rPr>
      </w:pPr>
    </w:p>
    <w:p w:rsidR="006B40CB" w:rsidRPr="003568F0" w:rsidRDefault="006B40CB" w:rsidP="00DC3BF0">
      <w:pPr>
        <w:pStyle w:val="FigureCaption"/>
        <w:widowControl w:val="0"/>
        <w:outlineLvl w:val="0"/>
        <w:rPr>
          <w:rFonts w:ascii="Times New Roman" w:hAnsi="Times New Roman" w:cs="Times New Roman"/>
          <w:b/>
          <w:sz w:val="24"/>
          <w:szCs w:val="24"/>
          <w:lang w:val="en-GB"/>
        </w:rPr>
      </w:pPr>
    </w:p>
    <w:p w:rsidR="006B40CB" w:rsidRPr="003568F0" w:rsidRDefault="006B40CB" w:rsidP="00DC3BF0">
      <w:pPr>
        <w:pStyle w:val="FigureCaption"/>
        <w:widowControl w:val="0"/>
        <w:outlineLvl w:val="0"/>
        <w:rPr>
          <w:rFonts w:ascii="Times New Roman" w:hAnsi="Times New Roman" w:cs="Times New Roman"/>
          <w:b/>
          <w:sz w:val="24"/>
          <w:szCs w:val="24"/>
          <w:lang w:val="en-GB"/>
        </w:rPr>
      </w:pPr>
    </w:p>
    <w:p w:rsidR="006B40CB" w:rsidRPr="003568F0" w:rsidRDefault="006B40CB" w:rsidP="00DC3BF0">
      <w:pPr>
        <w:pStyle w:val="FigureCaption"/>
        <w:widowControl w:val="0"/>
        <w:outlineLvl w:val="0"/>
        <w:rPr>
          <w:rFonts w:ascii="Times New Roman" w:hAnsi="Times New Roman" w:cs="Times New Roman"/>
          <w:b/>
          <w:sz w:val="24"/>
          <w:szCs w:val="24"/>
          <w:lang w:val="en-GB"/>
        </w:rPr>
      </w:pPr>
    </w:p>
    <w:p w:rsidR="006B40CB" w:rsidRPr="003568F0" w:rsidRDefault="006B40CB" w:rsidP="00DC3BF0">
      <w:pPr>
        <w:pStyle w:val="FigureCaption"/>
        <w:widowControl w:val="0"/>
        <w:outlineLvl w:val="0"/>
        <w:rPr>
          <w:rFonts w:ascii="Times New Roman" w:hAnsi="Times New Roman" w:cs="Times New Roman"/>
          <w:b/>
          <w:sz w:val="24"/>
          <w:szCs w:val="24"/>
          <w:lang w:val="en-GB"/>
        </w:rPr>
      </w:pPr>
    </w:p>
    <w:p w:rsidR="006B40CB" w:rsidRPr="003568F0" w:rsidRDefault="006B40CB" w:rsidP="00DC3BF0">
      <w:pPr>
        <w:pStyle w:val="FigureCaption"/>
        <w:widowControl w:val="0"/>
        <w:outlineLvl w:val="0"/>
        <w:rPr>
          <w:rFonts w:ascii="Times New Roman" w:hAnsi="Times New Roman" w:cs="Times New Roman"/>
          <w:b/>
          <w:sz w:val="24"/>
          <w:szCs w:val="24"/>
          <w:lang w:val="en-GB"/>
        </w:rPr>
      </w:pPr>
    </w:p>
    <w:p w:rsidR="006B40CB" w:rsidRPr="003568F0" w:rsidRDefault="006B40CB" w:rsidP="00DC3BF0">
      <w:pPr>
        <w:pStyle w:val="FigureCaption"/>
        <w:widowControl w:val="0"/>
        <w:outlineLvl w:val="0"/>
        <w:rPr>
          <w:rFonts w:ascii="Times New Roman" w:hAnsi="Times New Roman" w:cs="Times New Roman"/>
          <w:b/>
          <w:sz w:val="24"/>
          <w:szCs w:val="24"/>
          <w:lang w:val="en-GB"/>
        </w:rPr>
      </w:pPr>
    </w:p>
    <w:p w:rsidR="006B40CB" w:rsidRPr="003568F0" w:rsidRDefault="006B40CB" w:rsidP="00DC3BF0">
      <w:pPr>
        <w:pStyle w:val="FigureCaption"/>
        <w:widowControl w:val="0"/>
        <w:outlineLvl w:val="0"/>
        <w:rPr>
          <w:rFonts w:ascii="Times New Roman" w:hAnsi="Times New Roman" w:cs="Times New Roman"/>
          <w:b/>
          <w:sz w:val="24"/>
          <w:szCs w:val="24"/>
          <w:lang w:val="en-GB"/>
        </w:rPr>
      </w:pPr>
    </w:p>
    <w:p w:rsidR="006B40CB" w:rsidRPr="003568F0" w:rsidRDefault="006B40CB" w:rsidP="00DC3BF0">
      <w:pPr>
        <w:pStyle w:val="FigureCaption"/>
        <w:widowControl w:val="0"/>
        <w:outlineLvl w:val="0"/>
        <w:rPr>
          <w:rFonts w:ascii="Times New Roman" w:hAnsi="Times New Roman" w:cs="Times New Roman"/>
          <w:b/>
          <w:sz w:val="24"/>
          <w:szCs w:val="24"/>
          <w:lang w:val="en-GB"/>
        </w:rPr>
      </w:pPr>
    </w:p>
    <w:p w:rsidR="006B40CB" w:rsidRPr="003568F0" w:rsidRDefault="006B40CB" w:rsidP="00DC3BF0">
      <w:pPr>
        <w:pStyle w:val="FigureCaption"/>
        <w:widowControl w:val="0"/>
        <w:outlineLvl w:val="0"/>
        <w:rPr>
          <w:rFonts w:ascii="Times New Roman" w:hAnsi="Times New Roman" w:cs="Times New Roman"/>
          <w:b/>
          <w:sz w:val="24"/>
          <w:szCs w:val="24"/>
          <w:lang w:val="en-GB"/>
        </w:rPr>
      </w:pPr>
    </w:p>
    <w:p w:rsidR="00BE422E" w:rsidRPr="003568F0" w:rsidRDefault="00BE422E" w:rsidP="00DC3BF0">
      <w:pPr>
        <w:pStyle w:val="FigureCaption"/>
        <w:widowControl w:val="0"/>
        <w:outlineLvl w:val="0"/>
        <w:rPr>
          <w:sz w:val="24"/>
        </w:rPr>
      </w:pPr>
      <w:r w:rsidRPr="003568F0">
        <w:rPr>
          <w:rFonts w:ascii="Times New Roman" w:hAnsi="Times New Roman" w:cs="Times New Roman"/>
          <w:b/>
          <w:sz w:val="24"/>
          <w:szCs w:val="24"/>
          <w:lang w:val="en-GB"/>
        </w:rPr>
        <w:t>Figure 1.</w:t>
      </w:r>
      <w:r w:rsidRPr="003568F0">
        <w:rPr>
          <w:rFonts w:ascii="Times New Roman" w:hAnsi="Times New Roman" w:cs="Times New Roman"/>
          <w:sz w:val="24"/>
          <w:szCs w:val="24"/>
          <w:lang w:val="en-GB"/>
        </w:rPr>
        <w:t xml:space="preserve"> SEM micrographs and EDX analysis of </w:t>
      </w:r>
      <w:r w:rsidR="00DC3BF0" w:rsidRPr="003568F0">
        <w:rPr>
          <w:rFonts w:ascii="Times New Roman" w:hAnsi="Times New Roman" w:cs="Times New Roman"/>
          <w:sz w:val="24"/>
          <w:szCs w:val="24"/>
          <w:lang w:val="en-GB"/>
        </w:rPr>
        <w:t xml:space="preserve">a) </w:t>
      </w:r>
      <w:r w:rsidRPr="003568F0">
        <w:rPr>
          <w:rFonts w:ascii="Times New Roman" w:hAnsi="Times New Roman" w:cs="Times New Roman"/>
          <w:sz w:val="24"/>
          <w:szCs w:val="24"/>
          <w:lang w:val="en-GB"/>
        </w:rPr>
        <w:t xml:space="preserve">CEM-Ti-B and </w:t>
      </w:r>
      <w:r w:rsidR="00DC3BF0" w:rsidRPr="003568F0">
        <w:rPr>
          <w:rFonts w:ascii="Times New Roman" w:hAnsi="Times New Roman" w:cs="Times New Roman"/>
          <w:sz w:val="24"/>
          <w:szCs w:val="24"/>
          <w:lang w:val="en-GB"/>
        </w:rPr>
        <w:t>b) CEM-Ti-B/asphalt</w:t>
      </w:r>
      <w:r w:rsidRPr="003568F0">
        <w:rPr>
          <w:rFonts w:ascii="Times New Roman" w:hAnsi="Times New Roman" w:cs="Times New Roman"/>
          <w:sz w:val="24"/>
          <w:szCs w:val="24"/>
          <w:lang w:val="en-GB"/>
        </w:rPr>
        <w:t>.</w:t>
      </w:r>
    </w:p>
    <w:p w:rsidR="00BE422E" w:rsidRPr="003568F0" w:rsidRDefault="00BE422E" w:rsidP="00DC3BF0">
      <w:pPr>
        <w:pStyle w:val="TextFirstParagraph"/>
        <w:widowControl w:val="0"/>
        <w:spacing w:line="360" w:lineRule="auto"/>
        <w:ind w:firstLine="142"/>
        <w:rPr>
          <w:sz w:val="24"/>
        </w:rPr>
      </w:pPr>
    </w:p>
    <w:p w:rsidR="00BE422E" w:rsidRPr="003568F0" w:rsidRDefault="00BE422E" w:rsidP="00433D6D">
      <w:pPr>
        <w:spacing w:line="360" w:lineRule="auto"/>
        <w:jc w:val="both"/>
      </w:pPr>
      <w:r w:rsidRPr="003568F0">
        <w:t>In Figure 2 the X-ray diffractograms for the different cementitious materials are shown. Both samples CEM-Ti-A and CEM-Ti-B present the diffraction peaks corresponded to Ca</w:t>
      </w:r>
      <w:r w:rsidRPr="003568F0">
        <w:rPr>
          <w:vertAlign w:val="subscript"/>
        </w:rPr>
        <w:t>54</w:t>
      </w:r>
      <w:r w:rsidRPr="003568F0">
        <w:t>MgAl</w:t>
      </w:r>
      <w:r w:rsidRPr="003568F0">
        <w:rPr>
          <w:vertAlign w:val="subscript"/>
        </w:rPr>
        <w:t>2</w:t>
      </w:r>
      <w:r w:rsidRPr="003568F0">
        <w:t>Si</w:t>
      </w:r>
      <w:r w:rsidRPr="003568F0">
        <w:rPr>
          <w:vertAlign w:val="subscript"/>
        </w:rPr>
        <w:t>16</w:t>
      </w:r>
      <w:r w:rsidRPr="003568F0">
        <w:t>O</w:t>
      </w:r>
      <w:r w:rsidRPr="003568F0">
        <w:rPr>
          <w:vertAlign w:val="subscript"/>
        </w:rPr>
        <w:t>90</w:t>
      </w:r>
      <w:r w:rsidRPr="003568F0">
        <w:t xml:space="preserve"> (00-044-0603) phase of the cement. This phase is constituted mainly by calcium and silicon compounds in agreement with the EDX analysis (Figure 1). Moreover, SiO</w:t>
      </w:r>
      <w:r w:rsidRPr="003568F0">
        <w:rPr>
          <w:vertAlign w:val="subscript"/>
        </w:rPr>
        <w:t>2</w:t>
      </w:r>
      <w:r w:rsidRPr="003568F0">
        <w:t xml:space="preserve"> in the quartz crystal phase (00-003-0427) and TiO</w:t>
      </w:r>
      <w:r w:rsidRPr="003568F0">
        <w:rPr>
          <w:vertAlign w:val="subscript"/>
        </w:rPr>
        <w:t>2</w:t>
      </w:r>
      <w:r w:rsidRPr="003568F0">
        <w:t>-anatase phase (021-1272) was identified in the materials analysed. For the sake of clarity, TiO</w:t>
      </w:r>
      <w:r w:rsidRPr="003568F0">
        <w:rPr>
          <w:vertAlign w:val="subscript"/>
        </w:rPr>
        <w:t>2</w:t>
      </w:r>
      <w:r w:rsidRPr="003568F0">
        <w:t>-P25 was included as a reference in Figure 2. The diffraction lines for (101) (200) planes can be observed in both samples, corresponded to TiO</w:t>
      </w:r>
      <w:r w:rsidRPr="003568F0">
        <w:rPr>
          <w:vertAlign w:val="subscript"/>
        </w:rPr>
        <w:t>2</w:t>
      </w:r>
      <w:r w:rsidRPr="003568F0">
        <w:t>-anatase crystal phase. The mean TiO</w:t>
      </w:r>
      <w:r w:rsidRPr="003568F0">
        <w:rPr>
          <w:vertAlign w:val="subscript"/>
        </w:rPr>
        <w:t>2</w:t>
      </w:r>
      <w:r w:rsidRPr="003568F0">
        <w:t xml:space="preserve"> crystal size calculated by the Sherrer´s equation showed a slight lower value for CEM-Ti-B (23 nm) compared to CEM-Ti-A (35 nm). </w:t>
      </w:r>
    </w:p>
    <w:p w:rsidR="00FD3A1B" w:rsidRPr="003568F0" w:rsidRDefault="00FD3A1B" w:rsidP="00D574D4">
      <w:pPr>
        <w:spacing w:line="360" w:lineRule="auto"/>
        <w:jc w:val="center"/>
        <w:rPr>
          <w:b/>
        </w:rPr>
      </w:pPr>
      <w:r w:rsidRPr="003568F0">
        <w:rPr>
          <w:noProof/>
          <w:lang w:val="es-ES" w:eastAsia="es-ES"/>
        </w:rPr>
        <w:drawing>
          <wp:inline distT="0" distB="0" distL="0" distR="0">
            <wp:extent cx="3550722" cy="293320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3043" t="5870" r="10486" b="3520"/>
                    <a:stretch/>
                  </pic:blipFill>
                  <pic:spPr bwMode="auto">
                    <a:xfrm>
                      <a:off x="0" y="0"/>
                      <a:ext cx="3550631" cy="2933130"/>
                    </a:xfrm>
                    <a:prstGeom prst="rect">
                      <a:avLst/>
                    </a:prstGeom>
                    <a:noFill/>
                    <a:ln>
                      <a:noFill/>
                    </a:ln>
                    <a:extLst>
                      <a:ext uri="{53640926-AAD7-44D8-BBD7-CCE9431645EC}">
                        <a14:shadowObscured xmlns:a14="http://schemas.microsoft.com/office/drawing/2010/main"/>
                      </a:ext>
                    </a:extLst>
                  </pic:spPr>
                </pic:pic>
              </a:graphicData>
            </a:graphic>
          </wp:inline>
        </w:drawing>
      </w:r>
    </w:p>
    <w:p w:rsidR="00BE422E" w:rsidRPr="003568F0" w:rsidRDefault="00BE422E" w:rsidP="00433D6D">
      <w:pPr>
        <w:spacing w:line="360" w:lineRule="auto"/>
        <w:jc w:val="both"/>
        <w:rPr>
          <w:bCs/>
        </w:rPr>
      </w:pPr>
      <w:r w:rsidRPr="003568F0">
        <w:rPr>
          <w:b/>
        </w:rPr>
        <w:lastRenderedPageBreak/>
        <w:t>Figure 2.</w:t>
      </w:r>
      <w:r w:rsidRPr="003568F0">
        <w:t xml:space="preserve"> XRD difractograms for cementitious-TiO</w:t>
      </w:r>
      <w:r w:rsidRPr="003568F0">
        <w:rPr>
          <w:vertAlign w:val="subscript"/>
        </w:rPr>
        <w:t>2</w:t>
      </w:r>
      <w:r w:rsidRPr="003568F0">
        <w:t xml:space="preserve"> based materials and TiO</w:t>
      </w:r>
      <w:r w:rsidRPr="003568F0">
        <w:rPr>
          <w:vertAlign w:val="subscript"/>
        </w:rPr>
        <w:t>2</w:t>
      </w:r>
      <w:r w:rsidRPr="003568F0">
        <w:t>-P25. (</w:t>
      </w:r>
      <w:r w:rsidRPr="003568F0">
        <w:rPr>
          <w:bCs/>
        </w:rPr>
        <w:t>●) TiO</w:t>
      </w:r>
      <w:r w:rsidRPr="003568F0">
        <w:rPr>
          <w:bCs/>
          <w:u w:val="single"/>
          <w:vertAlign w:val="subscript"/>
        </w:rPr>
        <w:t>2</w:t>
      </w:r>
      <w:r w:rsidRPr="003568F0">
        <w:rPr>
          <w:bCs/>
        </w:rPr>
        <w:t xml:space="preserve"> –anatase, (*) TiO</w:t>
      </w:r>
      <w:r w:rsidRPr="003568F0">
        <w:rPr>
          <w:bCs/>
          <w:vertAlign w:val="subscript"/>
        </w:rPr>
        <w:t>2</w:t>
      </w:r>
      <w:r w:rsidRPr="003568F0">
        <w:rPr>
          <w:bCs/>
        </w:rPr>
        <w:t xml:space="preserve"> –rutile, (</w:t>
      </w:r>
      <w:r w:rsidRPr="003568F0">
        <w:rPr>
          <w:bCs/>
        </w:rPr>
        <w:sym w:font="Wingdings 3" w:char="F072"/>
      </w:r>
      <w:r w:rsidRPr="003568F0">
        <w:rPr>
          <w:bCs/>
        </w:rPr>
        <w:t>) Ca</w:t>
      </w:r>
      <w:r w:rsidRPr="003568F0">
        <w:rPr>
          <w:bCs/>
          <w:vertAlign w:val="subscript"/>
        </w:rPr>
        <w:t>54</w:t>
      </w:r>
      <w:r w:rsidRPr="003568F0">
        <w:rPr>
          <w:bCs/>
        </w:rPr>
        <w:t>MgAl</w:t>
      </w:r>
      <w:r w:rsidRPr="003568F0">
        <w:rPr>
          <w:bCs/>
          <w:vertAlign w:val="subscript"/>
        </w:rPr>
        <w:t>2</w:t>
      </w:r>
      <w:r w:rsidRPr="003568F0">
        <w:rPr>
          <w:bCs/>
        </w:rPr>
        <w:t>Si</w:t>
      </w:r>
      <w:r w:rsidRPr="003568F0">
        <w:rPr>
          <w:bCs/>
          <w:vertAlign w:val="subscript"/>
        </w:rPr>
        <w:t>16</w:t>
      </w:r>
      <w:r w:rsidRPr="003568F0">
        <w:rPr>
          <w:bCs/>
        </w:rPr>
        <w:t>O</w:t>
      </w:r>
      <w:r w:rsidRPr="003568F0">
        <w:rPr>
          <w:bCs/>
          <w:vertAlign w:val="subscript"/>
        </w:rPr>
        <w:t>90</w:t>
      </w:r>
      <w:r w:rsidRPr="003568F0">
        <w:t>, (</w:t>
      </w:r>
      <w:r w:rsidRPr="003568F0">
        <w:rPr>
          <w:bCs/>
        </w:rPr>
        <w:t>□) SiO</w:t>
      </w:r>
      <w:r w:rsidRPr="003568F0">
        <w:rPr>
          <w:bCs/>
          <w:vertAlign w:val="subscript"/>
        </w:rPr>
        <w:t>2</w:t>
      </w:r>
      <w:r w:rsidRPr="003568F0">
        <w:rPr>
          <w:bCs/>
        </w:rPr>
        <w:t>.</w:t>
      </w:r>
    </w:p>
    <w:p w:rsidR="00BE422E" w:rsidRPr="003568F0" w:rsidRDefault="00BE422E" w:rsidP="00433D6D">
      <w:pPr>
        <w:spacing w:line="360" w:lineRule="auto"/>
        <w:jc w:val="both"/>
      </w:pPr>
    </w:p>
    <w:p w:rsidR="00BE422E" w:rsidRPr="003568F0" w:rsidRDefault="00BE422E" w:rsidP="00433D6D">
      <w:pPr>
        <w:spacing w:line="360" w:lineRule="auto"/>
        <w:jc w:val="both"/>
      </w:pPr>
      <w:r w:rsidRPr="003568F0">
        <w:t>Cementitious material was characterised by N</w:t>
      </w:r>
      <w:r w:rsidRPr="003568F0">
        <w:rPr>
          <w:vertAlign w:val="subscript"/>
        </w:rPr>
        <w:t>2</w:t>
      </w:r>
      <w:r w:rsidRPr="003568F0">
        <w:t xml:space="preserve"> adsorption-desorption and thermogravimetric analysis. The results are represented in Figure 3a and 3b, respectively. Both samples present a shallow BET area below 5 m</w:t>
      </w:r>
      <w:r w:rsidRPr="003568F0">
        <w:rPr>
          <w:vertAlign w:val="superscript"/>
        </w:rPr>
        <w:t xml:space="preserve">2 </w:t>
      </w:r>
      <w:r w:rsidRPr="003568F0">
        <w:t>g</w:t>
      </w:r>
      <w:r w:rsidRPr="003568F0">
        <w:rPr>
          <w:vertAlign w:val="superscript"/>
        </w:rPr>
        <w:t>-1</w:t>
      </w:r>
      <w:r w:rsidRPr="003568F0">
        <w:t>. The isotherm was classified as a Type II, with a slight hysteresis cycle H3. This type II isotherms are characteristic of a non-porous or macroporous adsorbent, characterised by a sharp increase a P/P</w:t>
      </w:r>
      <w:r w:rsidRPr="003568F0">
        <w:rPr>
          <w:vertAlign w:val="superscript"/>
        </w:rPr>
        <w:t>0</w:t>
      </w:r>
      <w:r w:rsidRPr="003568F0">
        <w:t xml:space="preserve"> values, indicating the existence of meso or macropores not filled at the range of partial pressure measured by this technique. The type H3 is typical of plate shape aggregates with slit shaped pores. Despite the low surface area of both cementitious materials, CEM-Ti-B showed a slighter higher porosity and surface area than CEM-Ti-A material. As it can be observed in Figure 3b, the cementitious materials were stable against the temperature changes. The sample weight loss up to 1,000ºC was below 10 % in both cases, as expecting considering the high temperature required for cement </w:t>
      </w:r>
      <w:r w:rsidR="00A710E2" w:rsidRPr="003568F0">
        <w:t>production</w:t>
      </w:r>
      <w:r w:rsidRPr="003568F0">
        <w:t xml:space="preserve">. Despite this, </w:t>
      </w:r>
      <w:r w:rsidR="00D55F34" w:rsidRPr="003568F0">
        <w:t xml:space="preserve">three </w:t>
      </w:r>
      <w:r w:rsidRPr="003568F0">
        <w:t xml:space="preserve">weight </w:t>
      </w:r>
      <w:r w:rsidR="00A710E2" w:rsidRPr="003568F0">
        <w:t>losses</w:t>
      </w:r>
      <w:r w:rsidRPr="003568F0">
        <w:t xml:space="preserve"> can be observed </w:t>
      </w:r>
      <w:r w:rsidRPr="003568F0">
        <w:rPr>
          <w:noProof/>
        </w:rPr>
        <w:t>(Alarcon-Ruiz et al. 2005; Grattan-Bellew 1996; Nonnet et al. 1999; Zhou and Glasser 2001)</w:t>
      </w:r>
      <w:r w:rsidRPr="003568F0">
        <w:t>. The first weight loss, located at 100 ºC, is the result of the elimination of physisorbed water and dehydration reactions of several hydrates such as carboaluminates. The second significant weight loss, observed between 450–500 ºC, corresponds to the dehydroxylation of portlandite (Ca(OH)</w:t>
      </w:r>
      <w:r w:rsidRPr="003568F0">
        <w:rPr>
          <w:vertAlign w:val="subscript"/>
        </w:rPr>
        <w:t>2</w:t>
      </w:r>
      <w:r w:rsidRPr="003568F0">
        <w:t xml:space="preserve">). The third weight loss appears at 750 ºC and corresponds to the decarbonisation of calcium carbonate coming from the clinker, the based material employed to prepare the cement. </w:t>
      </w:r>
    </w:p>
    <w:p w:rsidR="00BE422E" w:rsidRPr="003568F0" w:rsidRDefault="003568F0" w:rsidP="00433D6D">
      <w:pPr>
        <w:spacing w:line="360" w:lineRule="auto"/>
      </w:pPr>
      <w:r w:rsidRPr="003568F0">
        <w:rPr>
          <w:noProof/>
          <w:lang w:val="es-ES" w:eastAsia="es-ES"/>
        </w:rPr>
        <w:pict>
          <v:shapetype id="_x0000_t202" coordsize="21600,21600" o:spt="202" path="m,l,21600r21600,l21600,xe">
            <v:stroke joinstyle="miter"/>
            <v:path gradientshapeok="t" o:connecttype="rect"/>
          </v:shapetype>
          <v:shape id="_x0000_s1036" type="#_x0000_t202" style="position:absolute;margin-left:240.55pt;margin-top:109.35pt;width:24.7pt;height:21pt;z-index:251668480;visibility:visible;mso-height-percent:200;mso-height-percent:200;mso-width-relative:margin;mso-height-relative:margin" stroked="f">
            <v:textbox style="mso-fit-shape-to-text:t">
              <w:txbxContent>
                <w:p w:rsidR="008934F7" w:rsidRDefault="008934F7" w:rsidP="00433D6D">
                  <w:r>
                    <w:t>b)</w:t>
                  </w:r>
                </w:p>
              </w:txbxContent>
            </v:textbox>
          </v:shape>
        </w:pict>
      </w:r>
      <w:r w:rsidRPr="003568F0">
        <w:rPr>
          <w:noProof/>
        </w:rPr>
        <w:pict>
          <v:shape id="Cuadro de texto 2" o:spid="_x0000_s1035" type="#_x0000_t202" style="position:absolute;margin-left:31.7pt;margin-top:10.4pt;width:24.7pt;height:21pt;z-index:251667456;visibility:visible;mso-height-percent:200;mso-height-percent:200;mso-width-relative:margin;mso-height-relative:margin" stroked="f">
            <v:textbox style="mso-fit-shape-to-text:t">
              <w:txbxContent>
                <w:p w:rsidR="008934F7" w:rsidRDefault="008934F7">
                  <w:r>
                    <w:t>a)</w:t>
                  </w:r>
                </w:p>
              </w:txbxContent>
            </v:textbox>
          </v:shape>
        </w:pict>
      </w:r>
      <w:r w:rsidRPr="003568F0">
        <w:pict>
          <v:shape id="_x0000_i1028" type="#_x0000_t75" style="width:202pt;height:171pt">
            <v:imagedata r:id="rId15" o:title="" cropleft="7874f" cropright="10015f"/>
          </v:shape>
        </w:pict>
      </w:r>
      <w:r w:rsidRPr="003568F0">
        <w:pict>
          <v:shape id="_x0000_i1029" type="#_x0000_t75" style="width:205.5pt;height:171pt">
            <v:imagedata r:id="rId16" o:title="" cropleft="8333f" cropright="8639f"/>
          </v:shape>
        </w:pict>
      </w:r>
    </w:p>
    <w:p w:rsidR="00BE422E" w:rsidRPr="003568F0" w:rsidRDefault="00BE422E" w:rsidP="00433D6D">
      <w:pPr>
        <w:spacing w:line="360" w:lineRule="auto"/>
        <w:jc w:val="both"/>
      </w:pPr>
      <w:r w:rsidRPr="003568F0">
        <w:rPr>
          <w:b/>
        </w:rPr>
        <w:t>Figure 3</w:t>
      </w:r>
      <w:r w:rsidRPr="003568F0">
        <w:t>. a) N</w:t>
      </w:r>
      <w:r w:rsidRPr="003568F0">
        <w:rPr>
          <w:vertAlign w:val="subscript"/>
        </w:rPr>
        <w:t>2</w:t>
      </w:r>
      <w:r w:rsidRPr="003568F0">
        <w:t xml:space="preserve"> adsorption–desorption isotherms for photoactive cements and b) thermogravimetric analysis.</w:t>
      </w:r>
    </w:p>
    <w:p w:rsidR="00BE422E" w:rsidRPr="003568F0" w:rsidRDefault="00BE422E" w:rsidP="00433D6D">
      <w:pPr>
        <w:spacing w:line="360" w:lineRule="auto"/>
        <w:jc w:val="both"/>
      </w:pPr>
    </w:p>
    <w:p w:rsidR="00BE422E" w:rsidRPr="003568F0" w:rsidRDefault="00BE422E" w:rsidP="00433D6D">
      <w:pPr>
        <w:spacing w:line="360" w:lineRule="auto"/>
        <w:jc w:val="both"/>
      </w:pPr>
      <w:r w:rsidRPr="003568F0">
        <w:t xml:space="preserve">The hydrophobic-hydrophilic character of the asphalt plate covered with the photocatalytic cementitious layer was measured for the two samples. </w:t>
      </w:r>
      <w:r w:rsidR="00D46837" w:rsidRPr="003568F0">
        <w:t xml:space="preserve">An equilibrium contact angle should be reached for non-adsorbent surfaces. Nevertheless, due to the heterogeneous composition of the photocatalytic cementitious materials, a variation of the initial value with time was observed. </w:t>
      </w:r>
      <w:r w:rsidR="006B40CB" w:rsidRPr="003568F0">
        <w:t>Initial c</w:t>
      </w:r>
      <w:r w:rsidR="00D46837" w:rsidRPr="003568F0">
        <w:t>ontact angle mean values of 91 ± 10 and 81 ± 11 for CEM-Ti-A/asphalt and CEM-Ti-B/asphalt respectively</w:t>
      </w:r>
      <w:r w:rsidR="00C649F0" w:rsidRPr="003568F0">
        <w:t xml:space="preserve"> were obtained</w:t>
      </w:r>
      <w:r w:rsidR="00D46837" w:rsidRPr="003568F0">
        <w:t xml:space="preserve">. </w:t>
      </w:r>
      <w:r w:rsidR="00620132" w:rsidRPr="003568F0">
        <w:t xml:space="preserve">The high contact angle of the </w:t>
      </w:r>
      <w:r w:rsidR="009C7833" w:rsidRPr="003568F0">
        <w:t>former</w:t>
      </w:r>
      <w:r w:rsidR="00620132" w:rsidRPr="003568F0">
        <w:t xml:space="preserve"> could be related to the higher silica content</w:t>
      </w:r>
      <w:r w:rsidR="006B40CB" w:rsidRPr="003568F0">
        <w:t>, according to EDX analysis</w:t>
      </w:r>
      <w:r w:rsidR="00620132" w:rsidRPr="003568F0">
        <w:t xml:space="preserve">. </w:t>
      </w:r>
      <w:r w:rsidR="00D46837" w:rsidRPr="003568F0">
        <w:t>Moreover, an example of the evolution of the contact angle</w:t>
      </w:r>
      <w:r w:rsidR="00D46837" w:rsidRPr="003568F0">
        <w:rPr>
          <w:rFonts w:asciiTheme="minorHAnsi" w:hAnsiTheme="minorHAnsi"/>
        </w:rPr>
        <w:t xml:space="preserve"> </w:t>
      </w:r>
      <w:r w:rsidRPr="003568F0">
        <w:t xml:space="preserve">with time is represented in Figure 4 for CEM-Ti-B. </w:t>
      </w:r>
      <w:r w:rsidR="006B40CB" w:rsidRPr="003568F0">
        <w:t xml:space="preserve">To determine the </w:t>
      </w:r>
      <w:r w:rsidR="00AF23A5" w:rsidRPr="003568F0">
        <w:t>wettability</w:t>
      </w:r>
      <w:r w:rsidR="006B40CB" w:rsidRPr="003568F0">
        <w:t xml:space="preserve"> of the cementitious </w:t>
      </w:r>
      <w:r w:rsidR="009C7833" w:rsidRPr="003568F0">
        <w:t>material</w:t>
      </w:r>
      <w:r w:rsidR="006B40CB" w:rsidRPr="003568F0">
        <w:t>, the</w:t>
      </w:r>
      <w:r w:rsidR="00D55F34" w:rsidRPr="003568F0">
        <w:t xml:space="preserve"> experiments were performed</w:t>
      </w:r>
      <w:r w:rsidR="006B40CB" w:rsidRPr="003568F0">
        <w:t xml:space="preserve"> in the absence of UV-A</w:t>
      </w:r>
      <w:r w:rsidR="00D55F34" w:rsidRPr="003568F0">
        <w:t xml:space="preserve">. </w:t>
      </w:r>
      <w:r w:rsidR="00A61D36" w:rsidRPr="003568F0">
        <w:t>C</w:t>
      </w:r>
      <w:r w:rsidRPr="003568F0">
        <w:t xml:space="preserve">ontact angle </w:t>
      </w:r>
      <w:r w:rsidR="00A61D36" w:rsidRPr="003568F0">
        <w:t xml:space="preserve">values </w:t>
      </w:r>
      <w:r w:rsidRPr="003568F0">
        <w:t xml:space="preserve">near 90 º </w:t>
      </w:r>
      <w:r w:rsidR="00A61D36" w:rsidRPr="003568F0">
        <w:t>are</w:t>
      </w:r>
      <w:r w:rsidR="00B24728" w:rsidRPr="003568F0">
        <w:t xml:space="preserve"> </w:t>
      </w:r>
      <w:r w:rsidR="00C649F0" w:rsidRPr="003568F0">
        <w:t xml:space="preserve">characteristic of </w:t>
      </w:r>
      <w:r w:rsidRPr="003568F0">
        <w:t>hydrophobic surface</w:t>
      </w:r>
      <w:r w:rsidR="00C649F0" w:rsidRPr="003568F0">
        <w:t>s</w:t>
      </w:r>
      <w:r w:rsidR="00B24728" w:rsidRPr="003568F0">
        <w:t xml:space="preserve"> </w:t>
      </w:r>
      <w:r w:rsidR="00B24728" w:rsidRPr="003568F0">
        <w:rPr>
          <w:rFonts w:asciiTheme="minorHAnsi" w:hAnsiTheme="minorHAnsi"/>
        </w:rPr>
        <w:t>(Θ &gt; 90)</w:t>
      </w:r>
      <w:r w:rsidR="006B40CB" w:rsidRPr="003568F0">
        <w:t>. Meanwhile, glass window</w:t>
      </w:r>
      <w:r w:rsidR="00C649F0" w:rsidRPr="003568F0">
        <w:t xml:space="preserve"> </w:t>
      </w:r>
      <w:r w:rsidRPr="003568F0">
        <w:t>show</w:t>
      </w:r>
      <w:r w:rsidR="006B40CB" w:rsidRPr="003568F0">
        <w:t>s</w:t>
      </w:r>
      <w:r w:rsidRPr="003568F0">
        <w:t xml:space="preserve"> values around 40º </w:t>
      </w:r>
      <w:r w:rsidR="00C649F0" w:rsidRPr="003568F0">
        <w:rPr>
          <w:rFonts w:asciiTheme="minorHAnsi" w:hAnsiTheme="minorHAnsi"/>
        </w:rPr>
        <w:t>± 5</w:t>
      </w:r>
      <w:r w:rsidR="00B24728" w:rsidRPr="003568F0">
        <w:rPr>
          <w:rFonts w:asciiTheme="minorHAnsi" w:hAnsiTheme="minorHAnsi"/>
        </w:rPr>
        <w:t>,</w:t>
      </w:r>
      <w:r w:rsidR="00C649F0" w:rsidRPr="003568F0">
        <w:rPr>
          <w:rFonts w:asciiTheme="minorHAnsi" w:hAnsiTheme="minorHAnsi"/>
        </w:rPr>
        <w:t xml:space="preserve"> </w:t>
      </w:r>
      <w:r w:rsidR="00B24728" w:rsidRPr="003568F0">
        <w:rPr>
          <w:rFonts w:asciiTheme="minorHAnsi" w:hAnsiTheme="minorHAnsi"/>
        </w:rPr>
        <w:t xml:space="preserve">(Θ &lt;90) </w:t>
      </w:r>
      <w:r w:rsidR="00D003D8" w:rsidRPr="003568F0">
        <w:t>representative</w:t>
      </w:r>
      <w:r w:rsidR="00B24728" w:rsidRPr="003568F0">
        <w:t xml:space="preserve"> of</w:t>
      </w:r>
      <w:r w:rsidR="00B24728" w:rsidRPr="003568F0">
        <w:rPr>
          <w:rFonts w:asciiTheme="minorHAnsi" w:hAnsiTheme="minorHAnsi"/>
        </w:rPr>
        <w:t xml:space="preserve"> </w:t>
      </w:r>
      <w:r w:rsidRPr="003568F0">
        <w:t xml:space="preserve">hydrophilic surfaces. Nevertheless, </w:t>
      </w:r>
      <w:r w:rsidR="006B40CB" w:rsidRPr="003568F0">
        <w:t xml:space="preserve">after 17 s the contact angle </w:t>
      </w:r>
      <w:r w:rsidR="00AF23A5" w:rsidRPr="003568F0">
        <w:t xml:space="preserve">decreases to ca. 25º </w:t>
      </w:r>
      <w:r w:rsidR="0074316E" w:rsidRPr="003568F0">
        <w:t>(Fig. 4)</w:t>
      </w:r>
      <w:r w:rsidRPr="003568F0">
        <w:t xml:space="preserve">. </w:t>
      </w:r>
      <w:r w:rsidR="0074316E" w:rsidRPr="003568F0">
        <w:t>All the cementitious asphalts studied, showed similar behaviour</w:t>
      </w:r>
      <w:r w:rsidR="00A61D36" w:rsidRPr="003568F0">
        <w:t>.</w:t>
      </w:r>
      <w:r w:rsidR="00D003D8" w:rsidRPr="003568F0">
        <w:t xml:space="preserve"> The mineral admixtures, sand types or chemical agents modify the initial contact angel and wetting behaviour of cements (Klein 2012)</w:t>
      </w:r>
      <w:r w:rsidR="00C649F0" w:rsidRPr="003568F0">
        <w:rPr>
          <w:rFonts w:asciiTheme="minorHAnsi" w:hAnsiTheme="minorHAnsi"/>
        </w:rPr>
        <w:t xml:space="preserve">. </w:t>
      </w:r>
      <w:r w:rsidR="00C649F0" w:rsidRPr="003568F0">
        <w:t xml:space="preserve">The </w:t>
      </w:r>
      <w:r w:rsidR="00674C17" w:rsidRPr="003568F0">
        <w:t>p</w:t>
      </w:r>
      <w:r w:rsidRPr="003568F0">
        <w:t xml:space="preserve">hysico-chemical properties of the cementitious materials </w:t>
      </w:r>
      <w:r w:rsidR="00C649F0" w:rsidRPr="003568F0">
        <w:t>were</w:t>
      </w:r>
      <w:r w:rsidRPr="003568F0">
        <w:t xml:space="preserve"> not apparently changed by the incorporation of low TiO</w:t>
      </w:r>
      <w:r w:rsidRPr="003568F0">
        <w:rPr>
          <w:vertAlign w:val="subscript"/>
        </w:rPr>
        <w:t>2</w:t>
      </w:r>
      <w:r w:rsidRPr="003568F0">
        <w:t xml:space="preserve"> amounts.</w:t>
      </w:r>
    </w:p>
    <w:p w:rsidR="00BE422E" w:rsidRPr="003568F0" w:rsidRDefault="003568F0" w:rsidP="00433D6D">
      <w:pPr>
        <w:spacing w:line="360" w:lineRule="auto"/>
      </w:pPr>
      <w:r w:rsidRPr="003568F0">
        <w:rPr>
          <w:highlight w:val="yellow"/>
        </w:rPr>
        <w:pict>
          <v:shape id="_x0000_s1033" type="#_x0000_t75" style="position:absolute;margin-left:74.75pt;margin-top:4.3pt;width:117.35pt;height:90.35pt;z-index:251665408" stroked="t">
            <v:imagedata r:id="rId17" o:title=""/>
          </v:shape>
        </w:pict>
      </w:r>
      <w:r w:rsidRPr="003568F0">
        <w:rPr>
          <w:highlight w:val="yellow"/>
        </w:rPr>
        <w:pict>
          <v:shape id="_x0000_s1030" type="#_x0000_t75" style="position:absolute;margin-left:208.35pt;margin-top:4.2pt;width:119.9pt;height:90.45pt;z-index:251662336" stroked="t">
            <v:imagedata r:id="rId18" o:title=""/>
          </v:shape>
        </w:pict>
      </w:r>
    </w:p>
    <w:p w:rsidR="00BE422E" w:rsidRPr="003568F0" w:rsidRDefault="00BE422E" w:rsidP="00433D6D">
      <w:pPr>
        <w:spacing w:line="360" w:lineRule="auto"/>
        <w:rPr>
          <w:highlight w:val="yellow"/>
        </w:rPr>
      </w:pPr>
    </w:p>
    <w:p w:rsidR="00BE422E" w:rsidRPr="003568F0" w:rsidRDefault="00BE422E" w:rsidP="00433D6D">
      <w:pPr>
        <w:spacing w:line="360" w:lineRule="auto"/>
        <w:rPr>
          <w:highlight w:val="yellow"/>
        </w:rPr>
      </w:pPr>
    </w:p>
    <w:p w:rsidR="00BE422E" w:rsidRPr="003568F0" w:rsidRDefault="00BE422E" w:rsidP="00433D6D">
      <w:pPr>
        <w:spacing w:line="360" w:lineRule="auto"/>
        <w:rPr>
          <w:highlight w:val="yellow"/>
        </w:rPr>
      </w:pPr>
    </w:p>
    <w:p w:rsidR="00BE422E" w:rsidRPr="003568F0" w:rsidRDefault="003568F0" w:rsidP="00433D6D">
      <w:pPr>
        <w:spacing w:line="360" w:lineRule="auto"/>
        <w:rPr>
          <w:highlight w:val="yellow"/>
        </w:rPr>
      </w:pPr>
      <w:r w:rsidRPr="003568F0">
        <w:rPr>
          <w:highlight w:val="yellow"/>
        </w:rPr>
        <w:pict>
          <v:shape id="_x0000_s1031" type="#_x0000_t75" style="position:absolute;margin-left:74.2pt;margin-top:18.1pt;width:117.9pt;height:88.75pt;z-index:251663360" stroked="t">
            <v:imagedata r:id="rId19" o:title=""/>
          </v:shape>
        </w:pict>
      </w:r>
      <w:r w:rsidRPr="003568F0">
        <w:rPr>
          <w:highlight w:val="yellow"/>
        </w:rPr>
        <w:pict>
          <v:shape id="_x0000_s1032" type="#_x0000_t75" style="position:absolute;margin-left:208.35pt;margin-top:18.15pt;width:119.9pt;height:88.7pt;z-index:251664384" stroked="t">
            <v:imagedata r:id="rId20" o:title=""/>
          </v:shape>
        </w:pict>
      </w:r>
    </w:p>
    <w:p w:rsidR="00BE422E" w:rsidRPr="003568F0" w:rsidRDefault="00BE422E" w:rsidP="00433D6D">
      <w:pPr>
        <w:spacing w:line="360" w:lineRule="auto"/>
        <w:rPr>
          <w:highlight w:val="yellow"/>
        </w:rPr>
      </w:pPr>
    </w:p>
    <w:p w:rsidR="00DC3BF0" w:rsidRPr="003568F0" w:rsidRDefault="00DC3BF0" w:rsidP="00433D6D">
      <w:pPr>
        <w:spacing w:line="360" w:lineRule="auto"/>
        <w:rPr>
          <w:highlight w:val="yellow"/>
        </w:rPr>
      </w:pPr>
    </w:p>
    <w:p w:rsidR="00FD3A1B" w:rsidRPr="003568F0" w:rsidRDefault="00FD3A1B" w:rsidP="00433D6D">
      <w:pPr>
        <w:spacing w:line="360" w:lineRule="auto"/>
        <w:jc w:val="both"/>
        <w:rPr>
          <w:b/>
        </w:rPr>
      </w:pPr>
    </w:p>
    <w:p w:rsidR="00FD3A1B" w:rsidRPr="003568F0" w:rsidRDefault="00FD3A1B" w:rsidP="00433D6D">
      <w:pPr>
        <w:spacing w:line="360" w:lineRule="auto"/>
        <w:jc w:val="both"/>
        <w:rPr>
          <w:b/>
        </w:rPr>
      </w:pPr>
    </w:p>
    <w:p w:rsidR="00FD3A1B" w:rsidRPr="003568F0" w:rsidRDefault="00FD3A1B" w:rsidP="00433D6D">
      <w:pPr>
        <w:spacing w:line="360" w:lineRule="auto"/>
        <w:jc w:val="both"/>
        <w:rPr>
          <w:b/>
        </w:rPr>
      </w:pPr>
    </w:p>
    <w:p w:rsidR="00BE422E" w:rsidRPr="003568F0" w:rsidRDefault="00BE422E" w:rsidP="00433D6D">
      <w:pPr>
        <w:spacing w:line="360" w:lineRule="auto"/>
        <w:jc w:val="both"/>
      </w:pPr>
      <w:r w:rsidRPr="003568F0">
        <w:rPr>
          <w:b/>
        </w:rPr>
        <w:t>Figure 4</w:t>
      </w:r>
      <w:r w:rsidRPr="003568F0">
        <w:t xml:space="preserve">. Evolution of contact angle with time for </w:t>
      </w:r>
      <w:r w:rsidR="00DC3BF0" w:rsidRPr="003568F0">
        <w:t>CEM-Ti-B/</w:t>
      </w:r>
      <w:r w:rsidRPr="003568F0">
        <w:t>asphalt test tube.</w:t>
      </w:r>
    </w:p>
    <w:p w:rsidR="00BE422E" w:rsidRPr="003568F0" w:rsidRDefault="00BE422E" w:rsidP="00433D6D">
      <w:pPr>
        <w:spacing w:line="360" w:lineRule="auto"/>
        <w:jc w:val="both"/>
      </w:pPr>
    </w:p>
    <w:p w:rsidR="00BE422E" w:rsidRPr="003568F0" w:rsidRDefault="00BE422E" w:rsidP="00433D6D">
      <w:pPr>
        <w:spacing w:line="360" w:lineRule="auto"/>
        <w:jc w:val="both"/>
        <w:rPr>
          <w:b/>
        </w:rPr>
      </w:pPr>
      <w:r w:rsidRPr="003568F0">
        <w:rPr>
          <w:b/>
        </w:rPr>
        <w:t>Photocatalytic activity results</w:t>
      </w:r>
    </w:p>
    <w:p w:rsidR="00BE422E" w:rsidRPr="003568F0" w:rsidRDefault="00BE422E" w:rsidP="00433D6D">
      <w:pPr>
        <w:pStyle w:val="TextFirstParagraph"/>
        <w:widowControl w:val="0"/>
        <w:spacing w:line="360" w:lineRule="auto"/>
        <w:ind w:firstLine="142"/>
        <w:rPr>
          <w:sz w:val="24"/>
        </w:rPr>
      </w:pPr>
      <w:r w:rsidRPr="003568F0">
        <w:rPr>
          <w:sz w:val="24"/>
        </w:rPr>
        <w:t xml:space="preserve">In order to determine the inherent photocatalytic activity of cementitious materials, a </w:t>
      </w:r>
      <w:r w:rsidRPr="003568F0">
        <w:rPr>
          <w:sz w:val="24"/>
        </w:rPr>
        <w:lastRenderedPageBreak/>
        <w:t xml:space="preserve">borosilicate glass flat slide was covered with a homogeneous and opaque layer of the material. In a first stage, </w:t>
      </w:r>
      <w:r w:rsidR="009C7833" w:rsidRPr="003568F0">
        <w:rPr>
          <w:sz w:val="24"/>
        </w:rPr>
        <w:t>the photodegradation of C</w:t>
      </w:r>
      <w:r w:rsidR="009C7833" w:rsidRPr="003568F0">
        <w:rPr>
          <w:sz w:val="24"/>
          <w:vertAlign w:val="subscript"/>
        </w:rPr>
        <w:t>2</w:t>
      </w:r>
      <w:r w:rsidR="009C7833" w:rsidRPr="003568F0">
        <w:rPr>
          <w:sz w:val="24"/>
        </w:rPr>
        <w:t>HCl</w:t>
      </w:r>
      <w:r w:rsidR="009C7833" w:rsidRPr="003568F0">
        <w:rPr>
          <w:sz w:val="24"/>
          <w:vertAlign w:val="subscript"/>
        </w:rPr>
        <w:t>3</w:t>
      </w:r>
      <w:r w:rsidR="009C7833" w:rsidRPr="003568F0">
        <w:rPr>
          <w:sz w:val="24"/>
        </w:rPr>
        <w:t xml:space="preserve"> as a model VOC molecule during two consecutive cycles (100 mL min</w:t>
      </w:r>
      <w:r w:rsidR="009C7833" w:rsidRPr="003568F0">
        <w:rPr>
          <w:sz w:val="24"/>
          <w:vertAlign w:val="superscript"/>
        </w:rPr>
        <w:t>-1</w:t>
      </w:r>
      <w:r w:rsidR="009C7833" w:rsidRPr="003568F0">
        <w:rPr>
          <w:sz w:val="24"/>
        </w:rPr>
        <w:t xml:space="preserve"> total flow and 30 ppm trichloroethylene) was analysed for </w:t>
      </w:r>
      <w:r w:rsidRPr="003568F0">
        <w:rPr>
          <w:sz w:val="24"/>
        </w:rPr>
        <w:t>CEM-Ti-A (Figure 5 left</w:t>
      </w:r>
      <w:r w:rsidR="00C96255" w:rsidRPr="003568F0">
        <w:rPr>
          <w:sz w:val="24"/>
        </w:rPr>
        <w:t>, sample loading 200 g</w:t>
      </w:r>
      <w:r w:rsidR="0015174F" w:rsidRPr="003568F0">
        <w:rPr>
          <w:sz w:val="24"/>
        </w:rPr>
        <w:t xml:space="preserve"> </w:t>
      </w:r>
      <w:r w:rsidR="00C96255" w:rsidRPr="003568F0">
        <w:rPr>
          <w:sz w:val="24"/>
        </w:rPr>
        <w:t>m</w:t>
      </w:r>
      <w:r w:rsidR="00C96255" w:rsidRPr="003568F0">
        <w:rPr>
          <w:sz w:val="24"/>
          <w:vertAlign w:val="superscript"/>
        </w:rPr>
        <w:t>-2</w:t>
      </w:r>
      <w:r w:rsidRPr="003568F0">
        <w:rPr>
          <w:sz w:val="24"/>
        </w:rPr>
        <w:t>)</w:t>
      </w:r>
      <w:r w:rsidR="00C96255" w:rsidRPr="003568F0">
        <w:rPr>
          <w:sz w:val="24"/>
        </w:rPr>
        <w:t xml:space="preserve">. </w:t>
      </w:r>
      <w:r w:rsidR="009C7833" w:rsidRPr="003568F0">
        <w:rPr>
          <w:sz w:val="24"/>
        </w:rPr>
        <w:t>After stabilization of the C</w:t>
      </w:r>
      <w:r w:rsidR="009C7833" w:rsidRPr="003568F0">
        <w:rPr>
          <w:sz w:val="24"/>
          <w:vertAlign w:val="subscript"/>
        </w:rPr>
        <w:t>2</w:t>
      </w:r>
      <w:r w:rsidR="009C7833" w:rsidRPr="003568F0">
        <w:rPr>
          <w:sz w:val="24"/>
        </w:rPr>
        <w:t>HCl</w:t>
      </w:r>
      <w:r w:rsidR="009C7833" w:rsidRPr="003568F0">
        <w:rPr>
          <w:sz w:val="24"/>
          <w:vertAlign w:val="subscript"/>
        </w:rPr>
        <w:t>3</w:t>
      </w:r>
      <w:r w:rsidRPr="003568F0">
        <w:rPr>
          <w:sz w:val="24"/>
        </w:rPr>
        <w:t xml:space="preserve"> concentration in the absence of light (time below 0 min), reaching the steady-state conditions, the sample </w:t>
      </w:r>
      <w:r w:rsidR="00C96255" w:rsidRPr="003568F0">
        <w:rPr>
          <w:sz w:val="24"/>
        </w:rPr>
        <w:t>was</w:t>
      </w:r>
      <w:r w:rsidRPr="003568F0">
        <w:rPr>
          <w:sz w:val="24"/>
        </w:rPr>
        <w:t xml:space="preserve"> irradiated with UV-A light. A progressive decrease of the C</w:t>
      </w:r>
      <w:r w:rsidRPr="003568F0">
        <w:rPr>
          <w:sz w:val="24"/>
          <w:vertAlign w:val="subscript"/>
        </w:rPr>
        <w:t>2</w:t>
      </w:r>
      <w:r w:rsidRPr="003568F0">
        <w:rPr>
          <w:sz w:val="24"/>
        </w:rPr>
        <w:t>HCl</w:t>
      </w:r>
      <w:r w:rsidRPr="003568F0">
        <w:rPr>
          <w:sz w:val="24"/>
          <w:vertAlign w:val="subscript"/>
        </w:rPr>
        <w:t>3</w:t>
      </w:r>
      <w:r w:rsidRPr="003568F0">
        <w:rPr>
          <w:sz w:val="24"/>
        </w:rPr>
        <w:t xml:space="preserve"> concentration along to the corresponding formation of CO</w:t>
      </w:r>
      <w:r w:rsidRPr="003568F0">
        <w:rPr>
          <w:sz w:val="24"/>
          <w:vertAlign w:val="subscript"/>
        </w:rPr>
        <w:t>2</w:t>
      </w:r>
      <w:r w:rsidRPr="003568F0">
        <w:rPr>
          <w:sz w:val="24"/>
        </w:rPr>
        <w:t xml:space="preserve"> was observed. During the first cycle, slow decay of the C</w:t>
      </w:r>
      <w:r w:rsidRPr="003568F0">
        <w:rPr>
          <w:sz w:val="24"/>
          <w:vertAlign w:val="subscript"/>
        </w:rPr>
        <w:t>2</w:t>
      </w:r>
      <w:r w:rsidRPr="003568F0">
        <w:rPr>
          <w:sz w:val="24"/>
        </w:rPr>
        <w:t>HCl</w:t>
      </w:r>
      <w:r w:rsidRPr="003568F0">
        <w:rPr>
          <w:sz w:val="24"/>
          <w:vertAlign w:val="subscript"/>
        </w:rPr>
        <w:t>3</w:t>
      </w:r>
      <w:r w:rsidRPr="003568F0">
        <w:rPr>
          <w:sz w:val="24"/>
        </w:rPr>
        <w:t xml:space="preserve"> concentration for CEM-Ti-A material was observed. Only a 20 % conversion was achieved after 500 min of irradiation. Then, the reaction rate increased, obtaining a change on the slope of the curve. When the same sample was submitted to the same process for a second cycle, the scenario was completed different. Efficienc</w:t>
      </w:r>
      <w:r w:rsidR="00014785" w:rsidRPr="003568F0">
        <w:rPr>
          <w:sz w:val="24"/>
        </w:rPr>
        <w:t>y</w:t>
      </w:r>
      <w:r w:rsidRPr="003568F0">
        <w:rPr>
          <w:sz w:val="24"/>
        </w:rPr>
        <w:t xml:space="preserve"> near 90% after 500 min reaction time</w:t>
      </w:r>
      <w:r w:rsidR="00014785" w:rsidRPr="003568F0">
        <w:rPr>
          <w:sz w:val="24"/>
        </w:rPr>
        <w:t xml:space="preserve"> was obtained</w:t>
      </w:r>
      <w:r w:rsidRPr="003568F0">
        <w:rPr>
          <w:sz w:val="24"/>
        </w:rPr>
        <w:t>. Exponential decay for C</w:t>
      </w:r>
      <w:r w:rsidRPr="003568F0">
        <w:rPr>
          <w:sz w:val="24"/>
          <w:vertAlign w:val="subscript"/>
        </w:rPr>
        <w:t>2</w:t>
      </w:r>
      <w:r w:rsidRPr="003568F0">
        <w:rPr>
          <w:sz w:val="24"/>
        </w:rPr>
        <w:t>HCl</w:t>
      </w:r>
      <w:r w:rsidRPr="003568F0">
        <w:rPr>
          <w:sz w:val="24"/>
          <w:vertAlign w:val="subscript"/>
        </w:rPr>
        <w:t>3</w:t>
      </w:r>
      <w:r w:rsidRPr="003568F0">
        <w:rPr>
          <w:sz w:val="24"/>
        </w:rPr>
        <w:t xml:space="preserve"> content along to a progressive increase of the CO</w:t>
      </w:r>
      <w:r w:rsidRPr="003568F0">
        <w:rPr>
          <w:sz w:val="24"/>
          <w:vertAlign w:val="subscript"/>
        </w:rPr>
        <w:t>2</w:t>
      </w:r>
      <w:r w:rsidRPr="003568F0">
        <w:rPr>
          <w:sz w:val="24"/>
        </w:rPr>
        <w:t xml:space="preserve"> concentration reaching a plateau at 400 min reaction time</w:t>
      </w:r>
      <w:r w:rsidR="00014785" w:rsidRPr="003568F0">
        <w:rPr>
          <w:sz w:val="24"/>
        </w:rPr>
        <w:t xml:space="preserve"> was observed</w:t>
      </w:r>
      <w:r w:rsidRPr="003568F0">
        <w:rPr>
          <w:sz w:val="24"/>
        </w:rPr>
        <w:t>.</w:t>
      </w:r>
    </w:p>
    <w:p w:rsidR="00BE422E" w:rsidRPr="003568F0" w:rsidRDefault="00BE422E" w:rsidP="00433D6D">
      <w:pPr>
        <w:pStyle w:val="TextFirstParagraph"/>
        <w:widowControl w:val="0"/>
        <w:spacing w:line="360" w:lineRule="auto"/>
        <w:rPr>
          <w:sz w:val="24"/>
        </w:rPr>
      </w:pPr>
      <w:r w:rsidRPr="003568F0">
        <w:rPr>
          <w:sz w:val="24"/>
        </w:rPr>
        <w:t>Nevertheless, the behaviour for CEM-Ti-B sample was utterly different. In Figure 5 right, the curves obtained for CEM-Ti-A (2</w:t>
      </w:r>
      <w:r w:rsidRPr="003568F0">
        <w:rPr>
          <w:sz w:val="24"/>
          <w:vertAlign w:val="superscript"/>
        </w:rPr>
        <w:t>nd</w:t>
      </w:r>
      <w:r w:rsidRPr="003568F0">
        <w:rPr>
          <w:sz w:val="24"/>
        </w:rPr>
        <w:t xml:space="preserve"> cycle) and CEM-Ti-B (1</w:t>
      </w:r>
      <w:r w:rsidRPr="003568F0">
        <w:rPr>
          <w:sz w:val="24"/>
          <w:vertAlign w:val="superscript"/>
        </w:rPr>
        <w:t>st</w:t>
      </w:r>
      <w:r w:rsidRPr="003568F0">
        <w:rPr>
          <w:sz w:val="24"/>
        </w:rPr>
        <w:t xml:space="preserve"> cycle) are compared. Both materials showed an exponential decay of the C</w:t>
      </w:r>
      <w:r w:rsidRPr="003568F0">
        <w:rPr>
          <w:sz w:val="24"/>
          <w:vertAlign w:val="subscript"/>
        </w:rPr>
        <w:t>2</w:t>
      </w:r>
      <w:r w:rsidRPr="003568F0">
        <w:rPr>
          <w:sz w:val="24"/>
        </w:rPr>
        <w:t>HCl</w:t>
      </w:r>
      <w:r w:rsidRPr="003568F0">
        <w:rPr>
          <w:sz w:val="24"/>
          <w:vertAlign w:val="subscript"/>
        </w:rPr>
        <w:t>3</w:t>
      </w:r>
      <w:r w:rsidRPr="003568F0">
        <w:rPr>
          <w:sz w:val="24"/>
        </w:rPr>
        <w:t xml:space="preserve"> signal, more pronounced for CEM-Ti-B. The asymptotic character of the curse can be appreciated. In both cases, the total conversion of C</w:t>
      </w:r>
      <w:r w:rsidRPr="003568F0">
        <w:rPr>
          <w:sz w:val="24"/>
          <w:vertAlign w:val="subscript"/>
        </w:rPr>
        <w:t>2</w:t>
      </w:r>
      <w:r w:rsidRPr="003568F0">
        <w:rPr>
          <w:sz w:val="24"/>
        </w:rPr>
        <w:t>HCl</w:t>
      </w:r>
      <w:r w:rsidRPr="003568F0">
        <w:rPr>
          <w:sz w:val="24"/>
          <w:vertAlign w:val="subscript"/>
        </w:rPr>
        <w:t>3</w:t>
      </w:r>
      <w:r w:rsidRPr="003568F0">
        <w:rPr>
          <w:sz w:val="24"/>
        </w:rPr>
        <w:t xml:space="preserve"> after 600 min reaction time</w:t>
      </w:r>
      <w:r w:rsidR="00014785" w:rsidRPr="003568F0">
        <w:rPr>
          <w:sz w:val="24"/>
        </w:rPr>
        <w:t xml:space="preserve"> was achieved</w:t>
      </w:r>
      <w:r w:rsidRPr="003568F0">
        <w:rPr>
          <w:sz w:val="24"/>
        </w:rPr>
        <w:t xml:space="preserve">. The data revealed that an initial activation cycle for CEM-Ti-B </w:t>
      </w:r>
      <w:r w:rsidR="00014785" w:rsidRPr="003568F0">
        <w:rPr>
          <w:sz w:val="24"/>
        </w:rPr>
        <w:t>was not required</w:t>
      </w:r>
      <w:r w:rsidRPr="003568F0">
        <w:rPr>
          <w:sz w:val="24"/>
        </w:rPr>
        <w:t>. Concerning the CO</w:t>
      </w:r>
      <w:r w:rsidRPr="003568F0">
        <w:rPr>
          <w:sz w:val="24"/>
          <w:vertAlign w:val="subscript"/>
        </w:rPr>
        <w:t>2</w:t>
      </w:r>
      <w:r w:rsidRPr="003568F0">
        <w:rPr>
          <w:sz w:val="24"/>
        </w:rPr>
        <w:t xml:space="preserve"> curves, different shapes were obtained directly related to the type of cement used. Thus, the curve softly increases for CEM-Ti-A meanwhile present a peak centre at 50 min for CEM-Ti-B. Thus, the apparently inactive CEM-Ti-A material, showed total degradation of C</w:t>
      </w:r>
      <w:r w:rsidRPr="003568F0">
        <w:rPr>
          <w:sz w:val="24"/>
          <w:vertAlign w:val="subscript"/>
        </w:rPr>
        <w:t>2</w:t>
      </w:r>
      <w:r w:rsidRPr="003568F0">
        <w:rPr>
          <w:sz w:val="24"/>
        </w:rPr>
        <w:t>HCl</w:t>
      </w:r>
      <w:r w:rsidRPr="003568F0">
        <w:rPr>
          <w:sz w:val="24"/>
          <w:vertAlign w:val="subscript"/>
        </w:rPr>
        <w:t>3</w:t>
      </w:r>
      <w:r w:rsidRPr="003568F0">
        <w:rPr>
          <w:sz w:val="24"/>
        </w:rPr>
        <w:t xml:space="preserve"> when is submitted to a second photocatalytic cycle. This observation indicates that a previous activation treatment under UV-A irradiation and in continuous air</w:t>
      </w:r>
      <w:r w:rsidR="00014785" w:rsidRPr="003568F0">
        <w:rPr>
          <w:sz w:val="24"/>
        </w:rPr>
        <w:t xml:space="preserve"> </w:t>
      </w:r>
      <w:r w:rsidRPr="003568F0">
        <w:rPr>
          <w:sz w:val="24"/>
        </w:rPr>
        <w:t xml:space="preserve">flow is essential for the correct evaluation of the photocatalytic activity of the samples. </w:t>
      </w:r>
      <w:r w:rsidR="00192739" w:rsidRPr="003568F0">
        <w:rPr>
          <w:sz w:val="24"/>
        </w:rPr>
        <w:t>Studying real</w:t>
      </w:r>
      <w:r w:rsidR="00014785" w:rsidRPr="003568F0">
        <w:rPr>
          <w:sz w:val="24"/>
        </w:rPr>
        <w:t xml:space="preserve"> commercial materials is a challenge, since information related to the</w:t>
      </w:r>
      <w:r w:rsidR="00192739" w:rsidRPr="003568F0">
        <w:rPr>
          <w:sz w:val="24"/>
        </w:rPr>
        <w:t xml:space="preserve">ir </w:t>
      </w:r>
      <w:r w:rsidR="00014785" w:rsidRPr="003568F0">
        <w:rPr>
          <w:sz w:val="24"/>
        </w:rPr>
        <w:t xml:space="preserve">preparation </w:t>
      </w:r>
      <w:r w:rsidR="00192739" w:rsidRPr="003568F0">
        <w:rPr>
          <w:sz w:val="24"/>
        </w:rPr>
        <w:t>and composition is usually not provided by the suppliers</w:t>
      </w:r>
      <w:r w:rsidR="00014785" w:rsidRPr="003568F0">
        <w:rPr>
          <w:sz w:val="24"/>
        </w:rPr>
        <w:t xml:space="preserve">. </w:t>
      </w:r>
      <w:r w:rsidR="006976D4" w:rsidRPr="003568F0">
        <w:rPr>
          <w:sz w:val="24"/>
        </w:rPr>
        <w:t>Despite</w:t>
      </w:r>
      <w:r w:rsidR="00014785" w:rsidRPr="003568F0">
        <w:rPr>
          <w:sz w:val="24"/>
        </w:rPr>
        <w:t xml:space="preserve"> </w:t>
      </w:r>
      <w:r w:rsidR="00192739" w:rsidRPr="003568F0">
        <w:rPr>
          <w:sz w:val="24"/>
        </w:rPr>
        <w:t>this</w:t>
      </w:r>
      <w:r w:rsidR="00014785" w:rsidRPr="003568F0">
        <w:rPr>
          <w:sz w:val="24"/>
        </w:rPr>
        <w:t xml:space="preserve"> difficulty, the results obtained </w:t>
      </w:r>
      <w:r w:rsidR="00192739" w:rsidRPr="003568F0">
        <w:rPr>
          <w:sz w:val="24"/>
        </w:rPr>
        <w:t xml:space="preserve">in this work </w:t>
      </w:r>
      <w:r w:rsidR="00014785" w:rsidRPr="003568F0">
        <w:rPr>
          <w:sz w:val="24"/>
        </w:rPr>
        <w:t xml:space="preserve">are </w:t>
      </w:r>
      <w:r w:rsidR="00192739" w:rsidRPr="003568F0">
        <w:rPr>
          <w:sz w:val="24"/>
        </w:rPr>
        <w:t>extremely relevant</w:t>
      </w:r>
      <w:r w:rsidR="00014785" w:rsidRPr="003568F0">
        <w:rPr>
          <w:sz w:val="24"/>
        </w:rPr>
        <w:t>, since the photocatalytic properties</w:t>
      </w:r>
      <w:r w:rsidR="00A710E2" w:rsidRPr="003568F0">
        <w:rPr>
          <w:sz w:val="24"/>
        </w:rPr>
        <w:t xml:space="preserve"> of materials </w:t>
      </w:r>
      <w:r w:rsidR="006976D4" w:rsidRPr="003568F0">
        <w:rPr>
          <w:sz w:val="24"/>
        </w:rPr>
        <w:t>designed for</w:t>
      </w:r>
      <w:r w:rsidR="00014785" w:rsidRPr="003568F0">
        <w:rPr>
          <w:sz w:val="24"/>
        </w:rPr>
        <w:t xml:space="preserve"> real scale </w:t>
      </w:r>
      <w:r w:rsidR="006976D4" w:rsidRPr="003568F0">
        <w:rPr>
          <w:sz w:val="24"/>
        </w:rPr>
        <w:t xml:space="preserve">application </w:t>
      </w:r>
      <w:r w:rsidR="00014785" w:rsidRPr="003568F0">
        <w:rPr>
          <w:sz w:val="24"/>
        </w:rPr>
        <w:t xml:space="preserve">are reported. The characterization results </w:t>
      </w:r>
      <w:r w:rsidR="009C7833" w:rsidRPr="003568F0">
        <w:rPr>
          <w:sz w:val="24"/>
        </w:rPr>
        <w:t>obtained</w:t>
      </w:r>
      <w:r w:rsidR="00014785" w:rsidRPr="003568F0">
        <w:rPr>
          <w:sz w:val="24"/>
        </w:rPr>
        <w:t xml:space="preserve"> report no significant differences in TiO</w:t>
      </w:r>
      <w:r w:rsidR="00014785" w:rsidRPr="003568F0">
        <w:rPr>
          <w:sz w:val="24"/>
          <w:vertAlign w:val="subscript"/>
        </w:rPr>
        <w:t>2</w:t>
      </w:r>
      <w:r w:rsidR="00014785" w:rsidRPr="003568F0">
        <w:rPr>
          <w:sz w:val="24"/>
        </w:rPr>
        <w:t xml:space="preserve"> amounts, crystal phases, </w:t>
      </w:r>
      <w:r w:rsidR="006976D4" w:rsidRPr="003568F0">
        <w:rPr>
          <w:sz w:val="24"/>
        </w:rPr>
        <w:t xml:space="preserve">particles </w:t>
      </w:r>
      <w:r w:rsidR="00014785" w:rsidRPr="003568F0">
        <w:rPr>
          <w:sz w:val="24"/>
        </w:rPr>
        <w:t xml:space="preserve">morphology or </w:t>
      </w:r>
      <w:r w:rsidR="006976D4" w:rsidRPr="003568F0">
        <w:rPr>
          <w:sz w:val="24"/>
        </w:rPr>
        <w:t>BET</w:t>
      </w:r>
      <w:r w:rsidR="00014785" w:rsidRPr="003568F0">
        <w:rPr>
          <w:sz w:val="24"/>
        </w:rPr>
        <w:t xml:space="preserve"> area. But the photocatalytic activity results indicate that the CEM-Ti-A should be pre-treated in order to promote the photoeficiency. </w:t>
      </w:r>
      <w:r w:rsidRPr="003568F0">
        <w:rPr>
          <w:sz w:val="24"/>
        </w:rPr>
        <w:t xml:space="preserve">During the activation step, the elimination of adsorbed </w:t>
      </w:r>
      <w:r w:rsidRPr="003568F0">
        <w:rPr>
          <w:sz w:val="24"/>
        </w:rPr>
        <w:lastRenderedPageBreak/>
        <w:t>species on titania active sites, i.e. carbonates according to the TGA analysis</w:t>
      </w:r>
      <w:r w:rsidR="00014785" w:rsidRPr="003568F0">
        <w:rPr>
          <w:sz w:val="24"/>
        </w:rPr>
        <w:t>,</w:t>
      </w:r>
      <w:r w:rsidR="006976D4" w:rsidRPr="003568F0">
        <w:rPr>
          <w:sz w:val="24"/>
        </w:rPr>
        <w:t xml:space="preserve"> impurities remaining from the</w:t>
      </w:r>
      <w:r w:rsidR="00014785" w:rsidRPr="003568F0">
        <w:rPr>
          <w:sz w:val="24"/>
        </w:rPr>
        <w:t xml:space="preserve"> </w:t>
      </w:r>
      <w:r w:rsidRPr="003568F0">
        <w:rPr>
          <w:sz w:val="24"/>
        </w:rPr>
        <w:t>cement</w:t>
      </w:r>
      <w:r w:rsidR="00615D89" w:rsidRPr="003568F0">
        <w:rPr>
          <w:sz w:val="24"/>
        </w:rPr>
        <w:t xml:space="preserve"> composition</w:t>
      </w:r>
      <w:r w:rsidRPr="003568F0">
        <w:rPr>
          <w:sz w:val="24"/>
        </w:rPr>
        <w:t xml:space="preserve"> or the preparation step</w:t>
      </w:r>
      <w:r w:rsidR="00014785" w:rsidRPr="003568F0">
        <w:rPr>
          <w:sz w:val="24"/>
        </w:rPr>
        <w:t>,</w:t>
      </w:r>
      <w:r w:rsidR="006976D4" w:rsidRPr="003568F0">
        <w:rPr>
          <w:sz w:val="24"/>
        </w:rPr>
        <w:t xml:space="preserve"> was performed</w:t>
      </w:r>
      <w:r w:rsidRPr="003568F0">
        <w:rPr>
          <w:sz w:val="24"/>
        </w:rPr>
        <w:t xml:space="preserve">. </w:t>
      </w:r>
      <w:r w:rsidR="00192739" w:rsidRPr="003568F0">
        <w:rPr>
          <w:sz w:val="24"/>
        </w:rPr>
        <w:t xml:space="preserve">Before the photocatalytic test </w:t>
      </w:r>
      <w:r w:rsidR="006976D4" w:rsidRPr="003568F0">
        <w:rPr>
          <w:sz w:val="24"/>
        </w:rPr>
        <w:t xml:space="preserve">a pre-treatment step </w:t>
      </w:r>
      <w:r w:rsidR="00014785" w:rsidRPr="003568F0">
        <w:rPr>
          <w:sz w:val="24"/>
        </w:rPr>
        <w:t>under UV-A irradiation</w:t>
      </w:r>
      <w:r w:rsidR="00615D89" w:rsidRPr="003568F0">
        <w:rPr>
          <w:sz w:val="24"/>
        </w:rPr>
        <w:t xml:space="preserve"> and</w:t>
      </w:r>
      <w:r w:rsidR="00014785" w:rsidRPr="003568F0">
        <w:rPr>
          <w:sz w:val="24"/>
        </w:rPr>
        <w:t xml:space="preserve"> air flow for 12 h, </w:t>
      </w:r>
      <w:r w:rsidR="009C7833" w:rsidRPr="003568F0">
        <w:rPr>
          <w:sz w:val="24"/>
        </w:rPr>
        <w:t>was co</w:t>
      </w:r>
      <w:r w:rsidR="00192739" w:rsidRPr="003568F0">
        <w:rPr>
          <w:sz w:val="24"/>
        </w:rPr>
        <w:t>nducted for all samples</w:t>
      </w:r>
      <w:r w:rsidR="00014785" w:rsidRPr="003568F0">
        <w:rPr>
          <w:sz w:val="24"/>
        </w:rPr>
        <w:t>.</w:t>
      </w:r>
    </w:p>
    <w:p w:rsidR="00DC3BF0" w:rsidRPr="003568F0" w:rsidRDefault="00DC3BF0" w:rsidP="00433D6D">
      <w:pPr>
        <w:pStyle w:val="TextFirstParagraph"/>
        <w:widowControl w:val="0"/>
        <w:spacing w:line="360" w:lineRule="auto"/>
        <w:rPr>
          <w:sz w:val="24"/>
        </w:rPr>
      </w:pPr>
    </w:p>
    <w:p w:rsidR="00BE422E" w:rsidRPr="003568F0" w:rsidRDefault="003568F0" w:rsidP="00433D6D">
      <w:pPr>
        <w:jc w:val="both"/>
        <w:rPr>
          <w:rFonts w:ascii="Arial" w:hAnsi="Arial"/>
          <w:sz w:val="22"/>
          <w:szCs w:val="22"/>
        </w:rPr>
      </w:pPr>
      <w:r w:rsidRPr="003568F0">
        <w:rPr>
          <w:noProof/>
          <w:lang w:val="es-ES" w:eastAsia="es-ES"/>
        </w:rPr>
        <w:pict>
          <v:shape id="Imagen 1" o:spid="_x0000_s1034" type="#_x0000_t75" style="position:absolute;left:0;text-align:left;margin-left:226.2pt;margin-top:12.15pt;width:248.3pt;height:205.5pt;z-index:251666432;visibility:visible">
            <v:imagedata r:id="rId21" o:title=""/>
            <w10:wrap type="square"/>
          </v:shape>
        </w:pict>
      </w:r>
      <w:r w:rsidRPr="003568F0">
        <w:rPr>
          <w:noProof/>
          <w:lang w:val="es-ES" w:eastAsia="es-ES"/>
        </w:rPr>
        <w:pict>
          <v:shape id="Imagen 1" o:spid="_x0000_i1030" type="#_x0000_t75" style="width:220.5pt;height:239pt;visibility:visible">
            <v:imagedata r:id="rId22" o:title=""/>
          </v:shape>
        </w:pict>
      </w:r>
    </w:p>
    <w:p w:rsidR="00BE422E" w:rsidRPr="003568F0" w:rsidRDefault="00BE422E" w:rsidP="00433D6D">
      <w:pPr>
        <w:jc w:val="both"/>
        <w:rPr>
          <w:rFonts w:ascii="Arial" w:hAnsi="Arial"/>
          <w:b/>
          <w:sz w:val="22"/>
          <w:szCs w:val="22"/>
        </w:rPr>
      </w:pPr>
      <w:r w:rsidRPr="003568F0">
        <w:rPr>
          <w:b/>
        </w:rPr>
        <w:t>Figure 5.</w:t>
      </w:r>
      <w:r w:rsidRPr="003568F0">
        <w:t xml:space="preserve"> Photocatalytic activity results for CEM-Ti-A, for two consecutive reaction cycles (left). Comparison between CEM-Ti-A after pre-treatment and CEM-Ti-B without pre-treatment (right). Operating conditions: Total flow: 100 mL min</w:t>
      </w:r>
      <w:r w:rsidRPr="003568F0">
        <w:rPr>
          <w:vertAlign w:val="superscript"/>
        </w:rPr>
        <w:t>-1</w:t>
      </w:r>
      <w:r w:rsidRPr="003568F0">
        <w:t>, [TCE] = 30 ppm.</w:t>
      </w:r>
    </w:p>
    <w:p w:rsidR="00BE422E" w:rsidRPr="003568F0" w:rsidRDefault="00BE422E" w:rsidP="00433D6D">
      <w:pPr>
        <w:jc w:val="both"/>
        <w:rPr>
          <w:rFonts w:ascii="Arial" w:hAnsi="Arial"/>
          <w:sz w:val="22"/>
          <w:szCs w:val="22"/>
        </w:rPr>
      </w:pPr>
    </w:p>
    <w:p w:rsidR="00BE422E" w:rsidRPr="003568F0" w:rsidRDefault="00775080" w:rsidP="00433D6D">
      <w:pPr>
        <w:pStyle w:val="TextFirstParagraph"/>
        <w:widowControl w:val="0"/>
        <w:spacing w:line="360" w:lineRule="auto"/>
        <w:ind w:firstLine="142"/>
        <w:rPr>
          <w:sz w:val="24"/>
        </w:rPr>
      </w:pPr>
      <w:r w:rsidRPr="003568F0">
        <w:rPr>
          <w:sz w:val="24"/>
        </w:rPr>
        <w:t>In a second stage, the photooxidation reaction of nitric oxide</w:t>
      </w:r>
      <w:r w:rsidR="00A710E2" w:rsidRPr="003568F0">
        <w:rPr>
          <w:sz w:val="24"/>
        </w:rPr>
        <w:t xml:space="preserve"> was studied</w:t>
      </w:r>
      <w:r w:rsidR="00BE422E" w:rsidRPr="003568F0">
        <w:rPr>
          <w:sz w:val="24"/>
        </w:rPr>
        <w:t>. The evolution of the NO and NO</w:t>
      </w:r>
      <w:r w:rsidR="00BE422E" w:rsidRPr="003568F0">
        <w:rPr>
          <w:sz w:val="24"/>
          <w:vertAlign w:val="subscript"/>
        </w:rPr>
        <w:t>2</w:t>
      </w:r>
      <w:r w:rsidR="00BE422E" w:rsidRPr="003568F0">
        <w:rPr>
          <w:sz w:val="24"/>
        </w:rPr>
        <w:t xml:space="preserve"> profiles for the benchmark TiO</w:t>
      </w:r>
      <w:r w:rsidR="00BE422E" w:rsidRPr="003568F0">
        <w:rPr>
          <w:sz w:val="24"/>
          <w:vertAlign w:val="subscript"/>
        </w:rPr>
        <w:t>2</w:t>
      </w:r>
      <w:r w:rsidR="00BE422E" w:rsidRPr="003568F0">
        <w:rPr>
          <w:sz w:val="24"/>
        </w:rPr>
        <w:t>- P25 and CEM-Ti-B are shown in Figure 6 a and b respectively at a total gas flow of 100 mL min</w:t>
      </w:r>
      <w:r w:rsidR="00BE422E" w:rsidRPr="003568F0">
        <w:rPr>
          <w:sz w:val="24"/>
          <w:vertAlign w:val="superscript"/>
        </w:rPr>
        <w:t>-1</w:t>
      </w:r>
      <w:r w:rsidR="00BE422E" w:rsidRPr="003568F0">
        <w:rPr>
          <w:sz w:val="24"/>
        </w:rPr>
        <w:t xml:space="preserve"> and 5 ppm of nitric oxide. </w:t>
      </w:r>
      <w:r w:rsidRPr="003568F0">
        <w:rPr>
          <w:sz w:val="24"/>
        </w:rPr>
        <w:t xml:space="preserve">Due to the CEM-Ti-B stability under reaction conditions, was selected for this study. </w:t>
      </w:r>
      <w:r w:rsidR="00BE422E" w:rsidRPr="003568F0">
        <w:rPr>
          <w:sz w:val="24"/>
        </w:rPr>
        <w:t>As in the previous case, after stabilisation of the NO signal at dark conditions, the sample was irradiated under UV-A light. TiO</w:t>
      </w:r>
      <w:r w:rsidR="00BE422E" w:rsidRPr="003568F0">
        <w:rPr>
          <w:sz w:val="24"/>
          <w:vertAlign w:val="subscript"/>
        </w:rPr>
        <w:t>2</w:t>
      </w:r>
      <w:r w:rsidR="00BE422E" w:rsidRPr="003568F0">
        <w:rPr>
          <w:sz w:val="24"/>
        </w:rPr>
        <w:t>–P25 showed total degradation of NO at the conditions selected for this experiment. Moreover, a considerable amount of NO</w:t>
      </w:r>
      <w:r w:rsidR="00BE422E" w:rsidRPr="003568F0">
        <w:rPr>
          <w:sz w:val="24"/>
          <w:vertAlign w:val="subscript"/>
        </w:rPr>
        <w:t>2</w:t>
      </w:r>
      <w:r w:rsidR="00BE422E" w:rsidRPr="003568F0">
        <w:rPr>
          <w:sz w:val="24"/>
        </w:rPr>
        <w:t xml:space="preserve"> was detected in the reactor outlet. After turn off the UV-A light at 900 min, the initial NO values were obtained, and the NO</w:t>
      </w:r>
      <w:r w:rsidR="00BE422E" w:rsidRPr="003568F0">
        <w:rPr>
          <w:sz w:val="24"/>
          <w:vertAlign w:val="subscript"/>
        </w:rPr>
        <w:t>2</w:t>
      </w:r>
      <w:r w:rsidR="00BE422E" w:rsidRPr="003568F0">
        <w:rPr>
          <w:sz w:val="24"/>
        </w:rPr>
        <w:t xml:space="preserve"> curve rapidly reached values closed to zero. </w:t>
      </w:r>
      <w:r w:rsidR="00D764C5" w:rsidRPr="003568F0">
        <w:rPr>
          <w:sz w:val="24"/>
        </w:rPr>
        <w:t>In order to compare the results with the ones obtained for TiO</w:t>
      </w:r>
      <w:r w:rsidR="00D764C5" w:rsidRPr="003568F0">
        <w:rPr>
          <w:sz w:val="24"/>
          <w:vertAlign w:val="subscript"/>
        </w:rPr>
        <w:t>2</w:t>
      </w:r>
      <w:r w:rsidR="00D764C5" w:rsidRPr="003568F0">
        <w:rPr>
          <w:sz w:val="24"/>
        </w:rPr>
        <w:t xml:space="preserve"> P25, a CEM-Ti-B sample containing ca. 100 g m</w:t>
      </w:r>
      <w:r w:rsidR="00D764C5" w:rsidRPr="003568F0">
        <w:rPr>
          <w:sz w:val="24"/>
          <w:vertAlign w:val="superscript"/>
        </w:rPr>
        <w:t>-2</w:t>
      </w:r>
      <w:r w:rsidR="00D764C5" w:rsidRPr="003568F0">
        <w:rPr>
          <w:sz w:val="24"/>
        </w:rPr>
        <w:t xml:space="preserve"> </w:t>
      </w:r>
      <w:r w:rsidR="0065458E" w:rsidRPr="003568F0">
        <w:rPr>
          <w:sz w:val="24"/>
        </w:rPr>
        <w:t xml:space="preserve">was prepared. </w:t>
      </w:r>
      <w:r w:rsidR="003B16A0" w:rsidRPr="003568F0">
        <w:rPr>
          <w:sz w:val="24"/>
        </w:rPr>
        <w:t xml:space="preserve">This sample showed a </w:t>
      </w:r>
      <w:r w:rsidR="00BE422E" w:rsidRPr="003568F0">
        <w:rPr>
          <w:sz w:val="24"/>
        </w:rPr>
        <w:t>nitric oxide conversion around 20 %. As in the case of TiO</w:t>
      </w:r>
      <w:r w:rsidR="00BE422E" w:rsidRPr="003568F0">
        <w:rPr>
          <w:sz w:val="24"/>
          <w:vertAlign w:val="subscript"/>
        </w:rPr>
        <w:t>2</w:t>
      </w:r>
      <w:r w:rsidR="00BE422E" w:rsidRPr="003568F0">
        <w:rPr>
          <w:sz w:val="24"/>
        </w:rPr>
        <w:t xml:space="preserve"> P25 nitrogen dioxide was detected under UV-A irradiation. Nevertheless, this sample was evaluated for more than 30 h, and constant values of both NO and NO</w:t>
      </w:r>
      <w:r w:rsidR="00BE422E" w:rsidRPr="003568F0">
        <w:rPr>
          <w:sz w:val="24"/>
          <w:vertAlign w:val="subscript"/>
        </w:rPr>
        <w:t>2</w:t>
      </w:r>
      <w:r w:rsidR="00BE422E" w:rsidRPr="003568F0">
        <w:rPr>
          <w:sz w:val="24"/>
        </w:rPr>
        <w:t xml:space="preserve"> signal were obtained. These results </w:t>
      </w:r>
      <w:r w:rsidR="00BE422E" w:rsidRPr="003568F0">
        <w:rPr>
          <w:sz w:val="24"/>
        </w:rPr>
        <w:lastRenderedPageBreak/>
        <w:t>indicate that nitrate species adsorbed on the surface may decompose to produce NO</w:t>
      </w:r>
      <w:r w:rsidR="00BE422E" w:rsidRPr="003568F0">
        <w:rPr>
          <w:sz w:val="24"/>
          <w:vertAlign w:val="subscript"/>
        </w:rPr>
        <w:t>2</w:t>
      </w:r>
      <w:r w:rsidR="00BE422E" w:rsidRPr="003568F0">
        <w:rPr>
          <w:sz w:val="24"/>
        </w:rPr>
        <w:t xml:space="preserve"> or that the NO reacts with oxidising species according to Eq. 5 to produce NO</w:t>
      </w:r>
      <w:r w:rsidR="00BE422E" w:rsidRPr="003568F0">
        <w:rPr>
          <w:sz w:val="24"/>
          <w:vertAlign w:val="subscript"/>
        </w:rPr>
        <w:t>2</w:t>
      </w:r>
      <w:r w:rsidR="00BE422E" w:rsidRPr="003568F0">
        <w:rPr>
          <w:sz w:val="24"/>
        </w:rPr>
        <w:t>. These experiments were performed in the absence of water vapour in the stream and this fact could be related to the NO</w:t>
      </w:r>
      <w:r w:rsidR="00BE422E" w:rsidRPr="003568F0">
        <w:rPr>
          <w:sz w:val="24"/>
          <w:vertAlign w:val="subscript"/>
        </w:rPr>
        <w:t>2</w:t>
      </w:r>
      <w:r w:rsidR="00BE422E" w:rsidRPr="003568F0">
        <w:rPr>
          <w:sz w:val="24"/>
        </w:rPr>
        <w:t xml:space="preserve"> amounts detected. In any of the cases under study, N</w:t>
      </w:r>
      <w:r w:rsidR="00BE422E" w:rsidRPr="003568F0">
        <w:rPr>
          <w:sz w:val="24"/>
          <w:vertAlign w:val="subscript"/>
        </w:rPr>
        <w:t>2</w:t>
      </w:r>
      <w:r w:rsidR="00BE422E" w:rsidRPr="003568F0">
        <w:rPr>
          <w:sz w:val="24"/>
        </w:rPr>
        <w:t xml:space="preserve">O was </w:t>
      </w:r>
      <w:r w:rsidR="003B16A0" w:rsidRPr="003568F0">
        <w:rPr>
          <w:sz w:val="24"/>
        </w:rPr>
        <w:t xml:space="preserve">not </w:t>
      </w:r>
      <w:r w:rsidR="00BE422E" w:rsidRPr="003568F0">
        <w:rPr>
          <w:sz w:val="24"/>
        </w:rPr>
        <w:t>detected as a reaction product. Samples with less cement amount (</w:t>
      </w:r>
      <w:r w:rsidR="0015174F" w:rsidRPr="003568F0">
        <w:rPr>
          <w:sz w:val="24"/>
        </w:rPr>
        <w:t>2</w:t>
      </w:r>
      <w:r w:rsidR="00AF23A5" w:rsidRPr="003568F0">
        <w:rPr>
          <w:sz w:val="24"/>
        </w:rPr>
        <w:t>5</w:t>
      </w:r>
      <w:r w:rsidR="0015174F" w:rsidRPr="003568F0">
        <w:rPr>
          <w:sz w:val="24"/>
        </w:rPr>
        <w:t xml:space="preserve"> </w:t>
      </w:r>
      <w:r w:rsidR="00BE422E" w:rsidRPr="003568F0">
        <w:rPr>
          <w:sz w:val="24"/>
        </w:rPr>
        <w:t>g m</w:t>
      </w:r>
      <w:r w:rsidR="00BE422E" w:rsidRPr="003568F0">
        <w:rPr>
          <w:sz w:val="24"/>
          <w:vertAlign w:val="superscript"/>
        </w:rPr>
        <w:t>-2</w:t>
      </w:r>
      <w:r w:rsidR="00BE422E" w:rsidRPr="003568F0">
        <w:rPr>
          <w:sz w:val="24"/>
        </w:rPr>
        <w:t>) were also tested</w:t>
      </w:r>
      <w:r w:rsidR="0015174F" w:rsidRPr="003568F0">
        <w:rPr>
          <w:sz w:val="24"/>
        </w:rPr>
        <w:t>. A</w:t>
      </w:r>
      <w:r w:rsidR="00AF23A5" w:rsidRPr="003568F0">
        <w:rPr>
          <w:sz w:val="24"/>
        </w:rPr>
        <w:t xml:space="preserve"> </w:t>
      </w:r>
      <w:r w:rsidR="00BE422E" w:rsidRPr="003568F0">
        <w:rPr>
          <w:sz w:val="24"/>
        </w:rPr>
        <w:t xml:space="preserve">10 % NO conversion (result not shown) </w:t>
      </w:r>
      <w:r w:rsidR="00D764C5" w:rsidRPr="003568F0">
        <w:rPr>
          <w:sz w:val="24"/>
        </w:rPr>
        <w:t>was</w:t>
      </w:r>
      <w:r w:rsidR="0015174F" w:rsidRPr="003568F0">
        <w:rPr>
          <w:sz w:val="24"/>
        </w:rPr>
        <w:t xml:space="preserve"> obtained</w:t>
      </w:r>
      <w:r w:rsidR="00D764C5" w:rsidRPr="003568F0">
        <w:rPr>
          <w:sz w:val="24"/>
        </w:rPr>
        <w:t>,</w:t>
      </w:r>
      <w:r w:rsidR="0015174F" w:rsidRPr="003568F0">
        <w:rPr>
          <w:sz w:val="24"/>
        </w:rPr>
        <w:t xml:space="preserve"> </w:t>
      </w:r>
      <w:r w:rsidR="00BE422E" w:rsidRPr="003568F0">
        <w:rPr>
          <w:sz w:val="24"/>
        </w:rPr>
        <w:t xml:space="preserve">indicating the importance of the sample amount on the photocatalytic activity. Moreover, CEM-Ti-B sample was tested for three consecutive reaction cycles. The results revealed that the NO conversion was maintained indicating that no deactivation process is taking place due to the accumulation of nitrate on the surface at the studied operating conditions. </w:t>
      </w:r>
    </w:p>
    <w:p w:rsidR="00BE422E" w:rsidRPr="003568F0" w:rsidRDefault="00AD0560" w:rsidP="00433D6D">
      <w:pPr>
        <w:pStyle w:val="TextFirstParagraph"/>
        <w:widowControl w:val="0"/>
        <w:spacing w:line="360" w:lineRule="auto"/>
        <w:ind w:firstLine="142"/>
        <w:jc w:val="center"/>
        <w:rPr>
          <w:sz w:val="24"/>
        </w:rPr>
      </w:pPr>
      <w:r w:rsidRPr="003568F0">
        <w:rPr>
          <w:noProof/>
          <w:sz w:val="24"/>
          <w:lang w:val="es-ES" w:eastAsia="es-ES"/>
        </w:rPr>
        <w:drawing>
          <wp:inline distT="0" distB="0" distL="0" distR="0" wp14:anchorId="7B03E4AB">
            <wp:extent cx="3986783" cy="2531059"/>
            <wp:effectExtent l="0" t="0" r="0" b="31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7631" t="6511" r="5723" b="3336"/>
                    <a:stretch/>
                  </pic:blipFill>
                  <pic:spPr bwMode="auto">
                    <a:xfrm>
                      <a:off x="0" y="0"/>
                      <a:ext cx="3992624" cy="2534767"/>
                    </a:xfrm>
                    <a:prstGeom prst="rect">
                      <a:avLst/>
                    </a:prstGeom>
                    <a:noFill/>
                    <a:ln>
                      <a:noFill/>
                    </a:ln>
                    <a:extLst>
                      <a:ext uri="{53640926-AAD7-44D8-BBD7-CCE9431645EC}">
                        <a14:shadowObscured xmlns:a14="http://schemas.microsoft.com/office/drawing/2010/main"/>
                      </a:ext>
                    </a:extLst>
                  </pic:spPr>
                </pic:pic>
              </a:graphicData>
            </a:graphic>
          </wp:inline>
        </w:drawing>
      </w:r>
    </w:p>
    <w:p w:rsidR="00BE422E" w:rsidRPr="003568F0" w:rsidRDefault="00840F72" w:rsidP="00433D6D">
      <w:pPr>
        <w:pStyle w:val="TextFirstParagraph"/>
        <w:widowControl w:val="0"/>
        <w:spacing w:line="360" w:lineRule="auto"/>
        <w:ind w:firstLine="142"/>
        <w:jc w:val="center"/>
        <w:rPr>
          <w:sz w:val="24"/>
        </w:rPr>
      </w:pPr>
      <w:r w:rsidRPr="003568F0">
        <w:rPr>
          <w:noProof/>
          <w:sz w:val="24"/>
          <w:lang w:val="es-ES" w:eastAsia="es-ES"/>
        </w:rPr>
        <w:drawing>
          <wp:inline distT="0" distB="0" distL="0" distR="0" wp14:anchorId="667B82A8">
            <wp:extent cx="4074566" cy="2550007"/>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5873" t="9361" r="5714"/>
                    <a:stretch/>
                  </pic:blipFill>
                  <pic:spPr bwMode="auto">
                    <a:xfrm>
                      <a:off x="0" y="0"/>
                      <a:ext cx="4077239" cy="2551680"/>
                    </a:xfrm>
                    <a:prstGeom prst="rect">
                      <a:avLst/>
                    </a:prstGeom>
                    <a:noFill/>
                    <a:ln>
                      <a:noFill/>
                    </a:ln>
                    <a:extLst>
                      <a:ext uri="{53640926-AAD7-44D8-BBD7-CCE9431645EC}">
                        <a14:shadowObscured xmlns:a14="http://schemas.microsoft.com/office/drawing/2010/main"/>
                      </a:ext>
                    </a:extLst>
                  </pic:spPr>
                </pic:pic>
              </a:graphicData>
            </a:graphic>
          </wp:inline>
        </w:drawing>
      </w:r>
    </w:p>
    <w:p w:rsidR="00BE422E" w:rsidRPr="003568F0" w:rsidRDefault="00BE422E" w:rsidP="00433D6D">
      <w:pPr>
        <w:jc w:val="both"/>
      </w:pPr>
      <w:r w:rsidRPr="003568F0">
        <w:rPr>
          <w:b/>
        </w:rPr>
        <w:t>Figure 6.</w:t>
      </w:r>
      <w:r w:rsidRPr="003568F0">
        <w:t xml:space="preserve"> Photocatalytic activity results for the degradation of NO for: a) TiO</w:t>
      </w:r>
      <w:r w:rsidRPr="003568F0">
        <w:rPr>
          <w:vertAlign w:val="subscript"/>
        </w:rPr>
        <w:t>2</w:t>
      </w:r>
      <w:r w:rsidRPr="003568F0">
        <w:t xml:space="preserve">-P25 and b) CEM-Ti-B immobilized on glass. </w:t>
      </w:r>
      <w:r w:rsidR="003B16A0" w:rsidRPr="003568F0">
        <w:t>[</w:t>
      </w:r>
      <w:r w:rsidR="0065458E" w:rsidRPr="003568F0">
        <w:t>TiO</w:t>
      </w:r>
      <w:r w:rsidR="0065458E" w:rsidRPr="003568F0">
        <w:rPr>
          <w:vertAlign w:val="subscript"/>
        </w:rPr>
        <w:t>2</w:t>
      </w:r>
      <w:r w:rsidR="003B16A0" w:rsidRPr="003568F0">
        <w:t xml:space="preserve">] </w:t>
      </w:r>
      <w:r w:rsidR="0065458E" w:rsidRPr="003568F0">
        <w:t>= 7.0 g m</w:t>
      </w:r>
      <w:r w:rsidR="0065458E" w:rsidRPr="003568F0">
        <w:rPr>
          <w:vertAlign w:val="superscript"/>
        </w:rPr>
        <w:t>-2</w:t>
      </w:r>
      <w:r w:rsidR="0065458E" w:rsidRPr="003568F0">
        <w:t xml:space="preserve">. </w:t>
      </w:r>
      <w:r w:rsidRPr="003568F0">
        <w:t>Total flow: 100 mL min</w:t>
      </w:r>
      <w:r w:rsidRPr="003568F0">
        <w:rPr>
          <w:vertAlign w:val="superscript"/>
        </w:rPr>
        <w:t>-1</w:t>
      </w:r>
      <w:r w:rsidRPr="003568F0">
        <w:t>; [NO] = 5 ppm.</w:t>
      </w:r>
    </w:p>
    <w:p w:rsidR="00BE422E" w:rsidRPr="003568F0" w:rsidRDefault="00BE422E" w:rsidP="00433D6D">
      <w:pPr>
        <w:pStyle w:val="TextFirstParagraph"/>
        <w:widowControl w:val="0"/>
        <w:spacing w:line="360" w:lineRule="auto"/>
        <w:ind w:firstLine="142"/>
        <w:rPr>
          <w:sz w:val="24"/>
        </w:rPr>
      </w:pPr>
    </w:p>
    <w:p w:rsidR="00BE422E" w:rsidRPr="003568F0" w:rsidRDefault="00BE422E" w:rsidP="00433D6D">
      <w:pPr>
        <w:pStyle w:val="TextFirstParagraph"/>
        <w:widowControl w:val="0"/>
        <w:spacing w:line="360" w:lineRule="auto"/>
        <w:ind w:firstLine="142"/>
        <w:rPr>
          <w:sz w:val="24"/>
        </w:rPr>
      </w:pPr>
      <w:r w:rsidRPr="003568F0">
        <w:rPr>
          <w:sz w:val="24"/>
        </w:rPr>
        <w:t>The photoactive asphalt plate</w:t>
      </w:r>
      <w:r w:rsidR="009B739F" w:rsidRPr="003568F0">
        <w:rPr>
          <w:sz w:val="24"/>
        </w:rPr>
        <w:t>s</w:t>
      </w:r>
      <w:r w:rsidRPr="003568F0">
        <w:rPr>
          <w:sz w:val="24"/>
        </w:rPr>
        <w:t xml:space="preserve"> prepared with </w:t>
      </w:r>
      <w:r w:rsidR="00575788" w:rsidRPr="003568F0">
        <w:rPr>
          <w:sz w:val="24"/>
        </w:rPr>
        <w:t xml:space="preserve">CEM-Ti-A and </w:t>
      </w:r>
      <w:r w:rsidRPr="003568F0">
        <w:rPr>
          <w:sz w:val="24"/>
        </w:rPr>
        <w:t xml:space="preserve">CEM-Ti-B </w:t>
      </w:r>
      <w:r w:rsidR="00575788" w:rsidRPr="003568F0">
        <w:rPr>
          <w:sz w:val="24"/>
        </w:rPr>
        <w:t>were</w:t>
      </w:r>
      <w:r w:rsidRPr="003568F0">
        <w:rPr>
          <w:sz w:val="24"/>
        </w:rPr>
        <w:t xml:space="preserve"> </w:t>
      </w:r>
      <w:r w:rsidRPr="003568F0">
        <w:rPr>
          <w:sz w:val="24"/>
        </w:rPr>
        <w:lastRenderedPageBreak/>
        <w:t xml:space="preserve">analysed at similar reaction conditions. </w:t>
      </w:r>
      <w:r w:rsidR="00575788" w:rsidRPr="003568F0">
        <w:rPr>
          <w:sz w:val="24"/>
        </w:rPr>
        <w:t>Unfortunately</w:t>
      </w:r>
      <w:r w:rsidR="009B739F" w:rsidRPr="003568F0">
        <w:rPr>
          <w:sz w:val="24"/>
        </w:rPr>
        <w:t>,</w:t>
      </w:r>
      <w:r w:rsidR="00575788" w:rsidRPr="003568F0">
        <w:rPr>
          <w:sz w:val="24"/>
        </w:rPr>
        <w:t xml:space="preserve"> CEM-Ti-A/asphalt did not show a significant reduction of the NO concentration under UV-A irradiation. </w:t>
      </w:r>
      <w:r w:rsidRPr="003568F0">
        <w:rPr>
          <w:sz w:val="24"/>
        </w:rPr>
        <w:t xml:space="preserve">The results </w:t>
      </w:r>
      <w:r w:rsidR="00575788" w:rsidRPr="003568F0">
        <w:rPr>
          <w:sz w:val="24"/>
        </w:rPr>
        <w:t xml:space="preserve">obtained for CEM-Ti-B/asphalt </w:t>
      </w:r>
      <w:r w:rsidRPr="003568F0">
        <w:rPr>
          <w:sz w:val="24"/>
        </w:rPr>
        <w:t>are depicted in Figure 7</w:t>
      </w:r>
      <w:r w:rsidR="00575788" w:rsidRPr="003568F0">
        <w:rPr>
          <w:sz w:val="24"/>
        </w:rPr>
        <w:t xml:space="preserve">. The evolution of the </w:t>
      </w:r>
      <w:r w:rsidRPr="003568F0">
        <w:rPr>
          <w:sz w:val="24"/>
        </w:rPr>
        <w:t>NO and NO</w:t>
      </w:r>
      <w:r w:rsidRPr="003568F0">
        <w:rPr>
          <w:sz w:val="24"/>
          <w:vertAlign w:val="subscript"/>
        </w:rPr>
        <w:t>2</w:t>
      </w:r>
      <w:r w:rsidRPr="003568F0">
        <w:rPr>
          <w:sz w:val="24"/>
        </w:rPr>
        <w:t xml:space="preserve"> signal</w:t>
      </w:r>
      <w:r w:rsidR="009B739F" w:rsidRPr="003568F0">
        <w:rPr>
          <w:sz w:val="24"/>
        </w:rPr>
        <w:t>s</w:t>
      </w:r>
      <w:r w:rsidRPr="003568F0">
        <w:rPr>
          <w:sz w:val="24"/>
        </w:rPr>
        <w:t xml:space="preserve"> </w:t>
      </w:r>
      <w:r w:rsidR="009B739F" w:rsidRPr="003568F0">
        <w:rPr>
          <w:sz w:val="24"/>
        </w:rPr>
        <w:t>with</w:t>
      </w:r>
      <w:r w:rsidR="00575788" w:rsidRPr="003568F0">
        <w:rPr>
          <w:sz w:val="24"/>
        </w:rPr>
        <w:t xml:space="preserve"> time </w:t>
      </w:r>
      <w:r w:rsidRPr="003568F0">
        <w:rPr>
          <w:sz w:val="24"/>
        </w:rPr>
        <w:t xml:space="preserve">are represented. </w:t>
      </w:r>
      <w:r w:rsidR="009B739F" w:rsidRPr="003568F0">
        <w:rPr>
          <w:sz w:val="24"/>
        </w:rPr>
        <w:t>In this case</w:t>
      </w:r>
      <w:r w:rsidRPr="003568F0">
        <w:rPr>
          <w:sz w:val="24"/>
        </w:rPr>
        <w:t xml:space="preserve">, </w:t>
      </w:r>
      <w:r w:rsidR="0074316E" w:rsidRPr="003568F0">
        <w:rPr>
          <w:sz w:val="24"/>
        </w:rPr>
        <w:t>a significant decrease of the NO amount</w:t>
      </w:r>
      <w:r w:rsidRPr="003568F0">
        <w:rPr>
          <w:sz w:val="24"/>
        </w:rPr>
        <w:t xml:space="preserve"> </w:t>
      </w:r>
      <w:r w:rsidR="009B739F" w:rsidRPr="003568F0">
        <w:rPr>
          <w:sz w:val="24"/>
        </w:rPr>
        <w:t xml:space="preserve">under UV-A irradiation was observed. </w:t>
      </w:r>
      <w:r w:rsidR="0074316E" w:rsidRPr="003568F0">
        <w:rPr>
          <w:sz w:val="24"/>
        </w:rPr>
        <w:t xml:space="preserve">A </w:t>
      </w:r>
      <w:r w:rsidR="00D764C5" w:rsidRPr="003568F0">
        <w:rPr>
          <w:sz w:val="24"/>
        </w:rPr>
        <w:t xml:space="preserve">NO </w:t>
      </w:r>
      <w:r w:rsidR="0074316E" w:rsidRPr="003568F0">
        <w:rPr>
          <w:sz w:val="24"/>
        </w:rPr>
        <w:t>conversion</w:t>
      </w:r>
      <w:r w:rsidRPr="003568F0">
        <w:rPr>
          <w:sz w:val="24"/>
        </w:rPr>
        <w:t xml:space="preserve"> around 32%</w:t>
      </w:r>
      <w:r w:rsidR="00D764C5" w:rsidRPr="003568F0">
        <w:rPr>
          <w:sz w:val="24"/>
        </w:rPr>
        <w:t xml:space="preserve"> </w:t>
      </w:r>
      <w:r w:rsidR="009B739F" w:rsidRPr="003568F0">
        <w:rPr>
          <w:sz w:val="24"/>
        </w:rPr>
        <w:t>after near 10</w:t>
      </w:r>
      <w:r w:rsidR="00986B8B" w:rsidRPr="003568F0">
        <w:rPr>
          <w:sz w:val="24"/>
        </w:rPr>
        <w:t xml:space="preserve"> h reaction time was</w:t>
      </w:r>
      <w:r w:rsidR="009B739F" w:rsidRPr="003568F0">
        <w:rPr>
          <w:sz w:val="24"/>
        </w:rPr>
        <w:t xml:space="preserve"> </w:t>
      </w:r>
      <w:r w:rsidR="00887A9E" w:rsidRPr="003568F0">
        <w:rPr>
          <w:sz w:val="24"/>
        </w:rPr>
        <w:t>achieved</w:t>
      </w:r>
      <w:r w:rsidRPr="003568F0">
        <w:rPr>
          <w:sz w:val="24"/>
        </w:rPr>
        <w:t xml:space="preserve">. </w:t>
      </w:r>
      <w:r w:rsidR="009B739F" w:rsidRPr="003568F0">
        <w:rPr>
          <w:sz w:val="24"/>
        </w:rPr>
        <w:t xml:space="preserve">Moreover, </w:t>
      </w:r>
      <w:r w:rsidRPr="003568F0">
        <w:rPr>
          <w:sz w:val="24"/>
        </w:rPr>
        <w:t>the NO</w:t>
      </w:r>
      <w:r w:rsidRPr="003568F0">
        <w:rPr>
          <w:sz w:val="24"/>
          <w:vertAlign w:val="subscript"/>
        </w:rPr>
        <w:t>2</w:t>
      </w:r>
      <w:r w:rsidRPr="003568F0">
        <w:rPr>
          <w:sz w:val="24"/>
        </w:rPr>
        <w:t xml:space="preserve"> </w:t>
      </w:r>
      <w:r w:rsidR="00D764C5" w:rsidRPr="003568F0">
        <w:rPr>
          <w:sz w:val="24"/>
        </w:rPr>
        <w:t>signal</w:t>
      </w:r>
      <w:r w:rsidRPr="003568F0">
        <w:rPr>
          <w:sz w:val="24"/>
        </w:rPr>
        <w:t xml:space="preserve"> was closed to cero</w:t>
      </w:r>
      <w:r w:rsidR="00D764C5" w:rsidRPr="003568F0">
        <w:rPr>
          <w:sz w:val="24"/>
        </w:rPr>
        <w:t xml:space="preserve"> during ca.</w:t>
      </w:r>
      <w:r w:rsidRPr="003568F0">
        <w:rPr>
          <w:sz w:val="24"/>
        </w:rPr>
        <w:t xml:space="preserve"> 600 min reaction time. These results evidenced the importance of the conformation of material</w:t>
      </w:r>
      <w:r w:rsidR="009B739F" w:rsidRPr="003568F0">
        <w:rPr>
          <w:sz w:val="24"/>
        </w:rPr>
        <w:t>,</w:t>
      </w:r>
      <w:r w:rsidRPr="003568F0">
        <w:rPr>
          <w:sz w:val="24"/>
        </w:rPr>
        <w:t xml:space="preserve"> the effect of </w:t>
      </w:r>
      <w:r w:rsidR="009B739F" w:rsidRPr="003568F0">
        <w:rPr>
          <w:sz w:val="24"/>
        </w:rPr>
        <w:t xml:space="preserve">the </w:t>
      </w:r>
      <w:r w:rsidRPr="003568F0">
        <w:rPr>
          <w:sz w:val="24"/>
        </w:rPr>
        <w:t>nature</w:t>
      </w:r>
      <w:r w:rsidR="009B739F" w:rsidRPr="003568F0">
        <w:rPr>
          <w:sz w:val="24"/>
        </w:rPr>
        <w:t xml:space="preserve"> of the</w:t>
      </w:r>
      <w:r w:rsidRPr="003568F0">
        <w:rPr>
          <w:sz w:val="24"/>
        </w:rPr>
        <w:t xml:space="preserve"> substrate and the material loading in the photocatalytic performance</w:t>
      </w:r>
      <w:r w:rsidR="009B739F" w:rsidRPr="003568F0">
        <w:rPr>
          <w:sz w:val="24"/>
        </w:rPr>
        <w:t xml:space="preserve">. These parameters </w:t>
      </w:r>
      <w:r w:rsidRPr="003568F0">
        <w:rPr>
          <w:sz w:val="24"/>
        </w:rPr>
        <w:t xml:space="preserve">play a significant </w:t>
      </w:r>
      <w:r w:rsidR="009B739F" w:rsidRPr="003568F0">
        <w:rPr>
          <w:sz w:val="24"/>
        </w:rPr>
        <w:t xml:space="preserve">role </w:t>
      </w:r>
      <w:r w:rsidRPr="003568F0">
        <w:rPr>
          <w:sz w:val="24"/>
        </w:rPr>
        <w:t xml:space="preserve">in the formation </w:t>
      </w:r>
      <w:r w:rsidR="009B739F" w:rsidRPr="003568F0">
        <w:rPr>
          <w:sz w:val="24"/>
        </w:rPr>
        <w:t>and</w:t>
      </w:r>
      <w:r w:rsidRPr="003568F0">
        <w:rPr>
          <w:sz w:val="24"/>
        </w:rPr>
        <w:t xml:space="preserve"> undesirable release of NO</w:t>
      </w:r>
      <w:r w:rsidRPr="003568F0">
        <w:rPr>
          <w:sz w:val="24"/>
          <w:vertAlign w:val="subscript"/>
        </w:rPr>
        <w:t>2</w:t>
      </w:r>
      <w:r w:rsidR="00D764C5" w:rsidRPr="003568F0">
        <w:rPr>
          <w:sz w:val="24"/>
        </w:rPr>
        <w:t xml:space="preserve"> to the gas phase</w:t>
      </w:r>
      <w:r w:rsidRPr="003568F0">
        <w:rPr>
          <w:sz w:val="24"/>
        </w:rPr>
        <w:t xml:space="preserve">. </w:t>
      </w:r>
    </w:p>
    <w:p w:rsidR="00840F72" w:rsidRPr="003568F0" w:rsidRDefault="00985528" w:rsidP="00433D6D">
      <w:pPr>
        <w:spacing w:line="360" w:lineRule="auto"/>
        <w:jc w:val="center"/>
        <w:rPr>
          <w:b/>
        </w:rPr>
      </w:pPr>
      <w:r w:rsidRPr="003568F0">
        <w:rPr>
          <w:b/>
          <w:noProof/>
          <w:lang w:val="es-ES" w:eastAsia="es-ES"/>
        </w:rPr>
        <w:drawing>
          <wp:inline distT="0" distB="0" distL="0" distR="0" wp14:anchorId="388B36C0">
            <wp:extent cx="4915814" cy="3006547"/>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4762" t="3256" r="6350" b="7529"/>
                    <a:stretch/>
                  </pic:blipFill>
                  <pic:spPr bwMode="auto">
                    <a:xfrm>
                      <a:off x="0" y="0"/>
                      <a:ext cx="4915201" cy="3006172"/>
                    </a:xfrm>
                    <a:prstGeom prst="rect">
                      <a:avLst/>
                    </a:prstGeom>
                    <a:noFill/>
                    <a:ln>
                      <a:noFill/>
                    </a:ln>
                    <a:extLst>
                      <a:ext uri="{53640926-AAD7-44D8-BBD7-CCE9431645EC}">
                        <a14:shadowObscured xmlns:a14="http://schemas.microsoft.com/office/drawing/2010/main"/>
                      </a:ext>
                    </a:extLst>
                  </pic:spPr>
                </pic:pic>
              </a:graphicData>
            </a:graphic>
          </wp:inline>
        </w:drawing>
      </w:r>
    </w:p>
    <w:p w:rsidR="00BE422E" w:rsidRPr="003568F0" w:rsidRDefault="00BE422E" w:rsidP="00433D6D">
      <w:pPr>
        <w:jc w:val="both"/>
        <w:rPr>
          <w:sz w:val="22"/>
          <w:szCs w:val="22"/>
        </w:rPr>
      </w:pPr>
      <w:r w:rsidRPr="003568F0">
        <w:rPr>
          <w:b/>
          <w:sz w:val="22"/>
          <w:szCs w:val="22"/>
        </w:rPr>
        <w:t>Figure 7</w:t>
      </w:r>
      <w:r w:rsidRPr="003568F0">
        <w:rPr>
          <w:sz w:val="22"/>
          <w:szCs w:val="22"/>
        </w:rPr>
        <w:t>. Photocatalytic elimination of NO for asphalt test tube prepared with CEM-Ti-B</w:t>
      </w:r>
      <w:r w:rsidR="00DC3BF0" w:rsidRPr="003568F0">
        <w:rPr>
          <w:sz w:val="22"/>
          <w:szCs w:val="22"/>
        </w:rPr>
        <w:t>/asphalt</w:t>
      </w:r>
      <w:r w:rsidRPr="003568F0">
        <w:rPr>
          <w:sz w:val="22"/>
          <w:szCs w:val="22"/>
        </w:rPr>
        <w:t>. Total flow 100 mL min</w:t>
      </w:r>
      <w:r w:rsidRPr="003568F0">
        <w:rPr>
          <w:sz w:val="22"/>
          <w:szCs w:val="22"/>
          <w:vertAlign w:val="superscript"/>
        </w:rPr>
        <w:t>-1</w:t>
      </w:r>
      <w:r w:rsidRPr="003568F0">
        <w:rPr>
          <w:sz w:val="22"/>
          <w:szCs w:val="22"/>
        </w:rPr>
        <w:t>, [NO] = 5 ppm.</w:t>
      </w:r>
    </w:p>
    <w:p w:rsidR="00BE422E" w:rsidRPr="003568F0" w:rsidRDefault="00BE422E" w:rsidP="00433D6D">
      <w:pPr>
        <w:spacing w:line="360" w:lineRule="auto"/>
        <w:jc w:val="both"/>
        <w:rPr>
          <w:b/>
        </w:rPr>
      </w:pPr>
    </w:p>
    <w:p w:rsidR="00C01F19" w:rsidRPr="003568F0" w:rsidRDefault="00BE422E" w:rsidP="00C01F19">
      <w:pPr>
        <w:spacing w:line="360" w:lineRule="auto"/>
        <w:jc w:val="both"/>
        <w:rPr>
          <w:rFonts w:asciiTheme="minorHAnsi" w:eastAsiaTheme="minorHAnsi" w:hAnsiTheme="minorHAnsi" w:cstheme="minorBidi"/>
          <w:lang w:eastAsia="en-US"/>
        </w:rPr>
      </w:pPr>
      <w:r w:rsidRPr="003568F0">
        <w:t xml:space="preserve">Finally, the photocatalytic performance of </w:t>
      </w:r>
      <w:r w:rsidR="009B739F" w:rsidRPr="003568F0">
        <w:t>CEM-Ti-B/asphalt</w:t>
      </w:r>
      <w:r w:rsidRPr="003568F0">
        <w:t xml:space="preserve"> was tested under stricter conditions reported in the </w:t>
      </w:r>
      <w:r w:rsidR="008934F7" w:rsidRPr="003568F0">
        <w:t xml:space="preserve">ISO 22197-1:2007 </w:t>
      </w:r>
      <w:r w:rsidRPr="003568F0">
        <w:t>(3</w:t>
      </w:r>
      <w:r w:rsidR="00AF23A5" w:rsidRPr="003568F0">
        <w:t>,</w:t>
      </w:r>
      <w:r w:rsidRPr="003568F0">
        <w:t>000 mL min</w:t>
      </w:r>
      <w:r w:rsidRPr="003568F0">
        <w:rPr>
          <w:vertAlign w:val="superscript"/>
        </w:rPr>
        <w:t>-1</w:t>
      </w:r>
      <w:r w:rsidRPr="003568F0">
        <w:t>, 1</w:t>
      </w:r>
      <w:r w:rsidR="009B739F" w:rsidRPr="003568F0">
        <w:t>,000</w:t>
      </w:r>
      <w:r w:rsidRPr="003568F0">
        <w:t xml:space="preserve"> </w:t>
      </w:r>
      <w:r w:rsidR="009B739F" w:rsidRPr="003568F0">
        <w:t xml:space="preserve">ppb </w:t>
      </w:r>
      <w:r w:rsidRPr="003568F0">
        <w:t>NO, 50 % R</w:t>
      </w:r>
      <w:r w:rsidR="00AF23A5" w:rsidRPr="003568F0">
        <w:t>.</w:t>
      </w:r>
      <w:r w:rsidRPr="003568F0">
        <w:t>H</w:t>
      </w:r>
      <w:r w:rsidR="00AF23A5" w:rsidRPr="003568F0">
        <w:t>.</w:t>
      </w:r>
      <w:r w:rsidRPr="003568F0">
        <w:t>, 10</w:t>
      </w:r>
      <w:r w:rsidR="009B739F" w:rsidRPr="003568F0">
        <w:t xml:space="preserve"> </w:t>
      </w:r>
      <w:r w:rsidRPr="003568F0">
        <w:t>W m</w:t>
      </w:r>
      <w:r w:rsidRPr="003568F0">
        <w:rPr>
          <w:vertAlign w:val="superscript"/>
        </w:rPr>
        <w:t>-2</w:t>
      </w:r>
      <w:r w:rsidRPr="003568F0">
        <w:t>. Figure 8 reports the evolution of the NO and NO</w:t>
      </w:r>
      <w:r w:rsidRPr="003568F0">
        <w:rPr>
          <w:vertAlign w:val="subscript"/>
        </w:rPr>
        <w:t>2</w:t>
      </w:r>
      <w:r w:rsidRPr="003568F0">
        <w:t xml:space="preserve"> signals with the reaction time for a typical experiment carried out under this standard. After stabilization of the NO and NO</w:t>
      </w:r>
      <w:r w:rsidRPr="003568F0">
        <w:rPr>
          <w:vertAlign w:val="subscript"/>
        </w:rPr>
        <w:t>2</w:t>
      </w:r>
      <w:r w:rsidRPr="003568F0">
        <w:t xml:space="preserve"> at dark conditions, the sample was irradiated with UV-A during 300 min. Total NO and NOx conversion of 29% and 22 % were attained with </w:t>
      </w:r>
      <w:r w:rsidR="00276416" w:rsidRPr="003568F0">
        <w:t>CEM-Ti-B/asphalt</w:t>
      </w:r>
      <w:r w:rsidRPr="003568F0">
        <w:t>. A substrate with a macroporous structure and roughness as shown in the SEM micrographs would promote the diffusion of the reactants to the titania active sites and the photocatalytic activity. It will be favoured in this way both the photooxidation process and the accumulation of nitrate species on the photocatalytic surface.</w:t>
      </w:r>
      <w:r w:rsidR="00C01F19" w:rsidRPr="003568F0">
        <w:rPr>
          <w:rFonts w:asciiTheme="minorHAnsi" w:eastAsiaTheme="minorHAnsi" w:hAnsiTheme="minorHAnsi" w:cstheme="minorBidi"/>
          <w:lang w:eastAsia="en-US"/>
        </w:rPr>
        <w:t xml:space="preserve"> </w:t>
      </w:r>
    </w:p>
    <w:p w:rsidR="00C01F19" w:rsidRPr="003568F0" w:rsidRDefault="00C01F19" w:rsidP="00C01F19">
      <w:pPr>
        <w:spacing w:line="360" w:lineRule="auto"/>
        <w:jc w:val="both"/>
        <w:rPr>
          <w:b/>
        </w:rPr>
      </w:pPr>
    </w:p>
    <w:p w:rsidR="00BE422E" w:rsidRPr="003568F0" w:rsidRDefault="00F930E1" w:rsidP="004679A4">
      <w:pPr>
        <w:spacing w:line="360" w:lineRule="auto"/>
        <w:jc w:val="center"/>
        <w:rPr>
          <w:sz w:val="18"/>
          <w:szCs w:val="20"/>
        </w:rPr>
      </w:pPr>
      <w:r w:rsidRPr="003568F0">
        <w:rPr>
          <w:noProof/>
          <w:sz w:val="18"/>
          <w:szCs w:val="20"/>
          <w:lang w:val="es-ES" w:eastAsia="es-ES"/>
        </w:rPr>
        <w:drawing>
          <wp:inline distT="0" distB="0" distL="0" distR="0" wp14:anchorId="5F2C272B" wp14:editId="3BE786A5">
            <wp:extent cx="4286707" cy="2485797"/>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6836" t="11459"/>
                    <a:stretch/>
                  </pic:blipFill>
                  <pic:spPr bwMode="auto">
                    <a:xfrm>
                      <a:off x="0" y="0"/>
                      <a:ext cx="4292985" cy="2489438"/>
                    </a:xfrm>
                    <a:prstGeom prst="rect">
                      <a:avLst/>
                    </a:prstGeom>
                    <a:noFill/>
                    <a:ln>
                      <a:noFill/>
                    </a:ln>
                    <a:extLst>
                      <a:ext uri="{53640926-AAD7-44D8-BBD7-CCE9431645EC}">
                        <a14:shadowObscured xmlns:a14="http://schemas.microsoft.com/office/drawing/2010/main"/>
                      </a:ext>
                    </a:extLst>
                  </pic:spPr>
                </pic:pic>
              </a:graphicData>
            </a:graphic>
          </wp:inline>
        </w:drawing>
      </w:r>
    </w:p>
    <w:p w:rsidR="00BE422E" w:rsidRPr="003568F0" w:rsidRDefault="00BE422E" w:rsidP="00433D6D">
      <w:pPr>
        <w:jc w:val="both"/>
        <w:rPr>
          <w:sz w:val="22"/>
          <w:szCs w:val="22"/>
        </w:rPr>
      </w:pPr>
      <w:r w:rsidRPr="003568F0">
        <w:rPr>
          <w:b/>
          <w:sz w:val="22"/>
          <w:szCs w:val="22"/>
        </w:rPr>
        <w:t>Figure 8</w:t>
      </w:r>
      <w:r w:rsidRPr="003568F0">
        <w:rPr>
          <w:sz w:val="22"/>
          <w:szCs w:val="22"/>
        </w:rPr>
        <w:t>. Photocatalytic elimination of NOx for asphalt test tube CEM-Ti-B</w:t>
      </w:r>
      <w:r w:rsidR="00DC3BF0" w:rsidRPr="003568F0">
        <w:rPr>
          <w:sz w:val="22"/>
          <w:szCs w:val="22"/>
        </w:rPr>
        <w:t>/asphalt</w:t>
      </w:r>
      <w:r w:rsidRPr="003568F0">
        <w:rPr>
          <w:sz w:val="22"/>
          <w:szCs w:val="22"/>
        </w:rPr>
        <w:t xml:space="preserve"> according to ISO</w:t>
      </w:r>
      <w:r w:rsidR="008934F7" w:rsidRPr="003568F0">
        <w:rPr>
          <w:sz w:val="22"/>
          <w:szCs w:val="22"/>
        </w:rPr>
        <w:t xml:space="preserve"> </w:t>
      </w:r>
      <w:r w:rsidRPr="003568F0">
        <w:rPr>
          <w:sz w:val="22"/>
          <w:szCs w:val="22"/>
        </w:rPr>
        <w:t>22197-1</w:t>
      </w:r>
      <w:r w:rsidR="008934F7" w:rsidRPr="003568F0">
        <w:rPr>
          <w:sz w:val="22"/>
          <w:szCs w:val="22"/>
        </w:rPr>
        <w:t>:2007</w:t>
      </w:r>
      <w:r w:rsidRPr="003568F0">
        <w:rPr>
          <w:sz w:val="22"/>
          <w:szCs w:val="22"/>
        </w:rPr>
        <w:t xml:space="preserve"> (</w:t>
      </w:r>
      <w:r w:rsidRPr="003568F0">
        <w:rPr>
          <w:sz w:val="22"/>
          <w:szCs w:val="22"/>
        </w:rPr>
        <w:sym w:font="Symbol" w:char="F0A8"/>
      </w:r>
      <w:r w:rsidRPr="003568F0">
        <w:rPr>
          <w:sz w:val="22"/>
          <w:szCs w:val="22"/>
        </w:rPr>
        <w:t>) NO, (</w:t>
      </w:r>
      <w:r w:rsidRPr="003568F0">
        <w:rPr>
          <w:sz w:val="16"/>
          <w:szCs w:val="16"/>
        </w:rPr>
        <w:sym w:font="Wingdings 3" w:char="F070"/>
      </w:r>
      <w:r w:rsidRPr="003568F0">
        <w:rPr>
          <w:sz w:val="22"/>
          <w:szCs w:val="22"/>
        </w:rPr>
        <w:t>) NOx eliminated and (</w:t>
      </w:r>
      <w:r w:rsidRPr="003568F0">
        <w:rPr>
          <w:sz w:val="16"/>
          <w:szCs w:val="16"/>
        </w:rPr>
        <w:sym w:font="Wingdings" w:char="F06E"/>
      </w:r>
      <w:r w:rsidRPr="003568F0">
        <w:rPr>
          <w:sz w:val="22"/>
          <w:szCs w:val="22"/>
        </w:rPr>
        <w:t>) NO</w:t>
      </w:r>
      <w:r w:rsidRPr="003568F0">
        <w:rPr>
          <w:sz w:val="22"/>
          <w:szCs w:val="22"/>
          <w:vertAlign w:val="subscript"/>
        </w:rPr>
        <w:t>2</w:t>
      </w:r>
      <w:r w:rsidRPr="003568F0">
        <w:rPr>
          <w:sz w:val="22"/>
          <w:szCs w:val="22"/>
        </w:rPr>
        <w:t xml:space="preserve"> produced. Operating conditions: Total flow F = 3000 mL min</w:t>
      </w:r>
      <w:r w:rsidRPr="003568F0">
        <w:rPr>
          <w:sz w:val="22"/>
          <w:szCs w:val="22"/>
          <w:vertAlign w:val="superscript"/>
        </w:rPr>
        <w:t>-1</w:t>
      </w:r>
      <w:r w:rsidRPr="003568F0">
        <w:rPr>
          <w:sz w:val="22"/>
          <w:szCs w:val="22"/>
        </w:rPr>
        <w:t>, [NO] = 1</w:t>
      </w:r>
      <w:r w:rsidR="00986B8B" w:rsidRPr="003568F0">
        <w:rPr>
          <w:sz w:val="22"/>
          <w:szCs w:val="22"/>
        </w:rPr>
        <w:t>,000</w:t>
      </w:r>
      <w:r w:rsidRPr="003568F0">
        <w:rPr>
          <w:sz w:val="22"/>
          <w:szCs w:val="22"/>
        </w:rPr>
        <w:t xml:space="preserve"> pp</w:t>
      </w:r>
      <w:r w:rsidR="00986B8B" w:rsidRPr="003568F0">
        <w:rPr>
          <w:sz w:val="22"/>
          <w:szCs w:val="22"/>
        </w:rPr>
        <w:t>b</w:t>
      </w:r>
      <w:r w:rsidRPr="003568F0">
        <w:rPr>
          <w:sz w:val="22"/>
          <w:szCs w:val="22"/>
        </w:rPr>
        <w:t>, R</w:t>
      </w:r>
      <w:r w:rsidR="00986B8B" w:rsidRPr="003568F0">
        <w:rPr>
          <w:sz w:val="22"/>
          <w:szCs w:val="22"/>
        </w:rPr>
        <w:t>.</w:t>
      </w:r>
      <w:r w:rsidRPr="003568F0">
        <w:rPr>
          <w:sz w:val="22"/>
          <w:szCs w:val="22"/>
        </w:rPr>
        <w:t>H</w:t>
      </w:r>
      <w:r w:rsidR="00986B8B" w:rsidRPr="003568F0">
        <w:rPr>
          <w:sz w:val="22"/>
          <w:szCs w:val="22"/>
        </w:rPr>
        <w:t>.</w:t>
      </w:r>
      <w:r w:rsidRPr="003568F0">
        <w:rPr>
          <w:sz w:val="22"/>
          <w:szCs w:val="22"/>
        </w:rPr>
        <w:t xml:space="preserve"> = 50 %, I = 10 W m</w:t>
      </w:r>
      <w:r w:rsidRPr="003568F0">
        <w:rPr>
          <w:sz w:val="22"/>
          <w:szCs w:val="22"/>
          <w:vertAlign w:val="superscript"/>
        </w:rPr>
        <w:t>-2</w:t>
      </w:r>
      <w:r w:rsidRPr="003568F0">
        <w:rPr>
          <w:sz w:val="22"/>
          <w:szCs w:val="22"/>
        </w:rPr>
        <w:t xml:space="preserve"> (UV-A).</w:t>
      </w:r>
    </w:p>
    <w:p w:rsidR="00AF23A5" w:rsidRPr="003568F0" w:rsidRDefault="00AF23A5" w:rsidP="00433D6D">
      <w:pPr>
        <w:jc w:val="both"/>
        <w:rPr>
          <w:sz w:val="22"/>
          <w:szCs w:val="22"/>
        </w:rPr>
      </w:pPr>
    </w:p>
    <w:p w:rsidR="00BE422E" w:rsidRPr="003568F0" w:rsidRDefault="00AF23A5" w:rsidP="00433D6D">
      <w:pPr>
        <w:spacing w:line="360" w:lineRule="auto"/>
        <w:jc w:val="both"/>
        <w:rPr>
          <w:rFonts w:eastAsiaTheme="minorHAnsi"/>
          <w:lang w:eastAsia="en-US"/>
        </w:rPr>
      </w:pPr>
      <w:r w:rsidRPr="003568F0">
        <w:rPr>
          <w:rFonts w:eastAsiaTheme="minorHAnsi"/>
          <w:lang w:eastAsia="en-US"/>
        </w:rPr>
        <w:t>The analysis of the mechanical properties changes and the durability of the cementitious photoactive materials is essential for applications at outdoor conditions. Mechanical properties such as compression strength, abrasion resistance, slip resistance, water adsorption and resistance to freeze-thaw with de-icing salt, among others, were studied. According to the UNE-EN 1338:2004/AC: 2006 standard, the mechanical properties of the asphalt after application of the photocatalytic layer were not modified. The effect of rolling due to the vehicle traffic or the weather conditions will be reported in a future work.</w:t>
      </w:r>
    </w:p>
    <w:p w:rsidR="00AF23A5" w:rsidRPr="003568F0" w:rsidRDefault="00AF23A5" w:rsidP="00433D6D">
      <w:pPr>
        <w:spacing w:line="360" w:lineRule="auto"/>
        <w:jc w:val="both"/>
        <w:rPr>
          <w:b/>
        </w:rPr>
      </w:pPr>
    </w:p>
    <w:p w:rsidR="00BE422E" w:rsidRPr="003568F0" w:rsidRDefault="00BE422E" w:rsidP="00433D6D">
      <w:pPr>
        <w:spacing w:line="360" w:lineRule="auto"/>
        <w:jc w:val="both"/>
        <w:rPr>
          <w:b/>
        </w:rPr>
      </w:pPr>
      <w:r w:rsidRPr="003568F0">
        <w:rPr>
          <w:b/>
        </w:rPr>
        <w:t>Conclusions</w:t>
      </w:r>
    </w:p>
    <w:p w:rsidR="00BE422E" w:rsidRPr="003568F0" w:rsidRDefault="00BE422E" w:rsidP="00433D6D">
      <w:pPr>
        <w:spacing w:line="360" w:lineRule="auto"/>
        <w:jc w:val="both"/>
        <w:rPr>
          <w:b/>
        </w:rPr>
      </w:pPr>
    </w:p>
    <w:p w:rsidR="00BE422E" w:rsidRPr="003568F0" w:rsidRDefault="00BE422E" w:rsidP="00433D6D">
      <w:pPr>
        <w:spacing w:line="360" w:lineRule="auto"/>
        <w:jc w:val="both"/>
        <w:rPr>
          <w:bCs/>
        </w:rPr>
      </w:pPr>
      <w:r w:rsidRPr="003568F0">
        <w:t xml:space="preserve">Photocatalytic cementitious based materials for the oxidation of trichloroethylene and nitric oxide in gas phase have been evaluated at laboratory scale. The obtained results revealed the dependence of the reaction rate with the nature of the cement </w:t>
      </w:r>
      <w:r w:rsidR="00AF23A5" w:rsidRPr="003568F0">
        <w:t>components</w:t>
      </w:r>
      <w:r w:rsidRPr="003568F0">
        <w:t xml:space="preserve">, the photoactive material loading and the effect of certain kinds of additives employed in the preparation procedure. </w:t>
      </w:r>
      <w:r w:rsidR="00266C46" w:rsidRPr="003568F0">
        <w:t>For the correct evaluation of the photocatalytic activity a</w:t>
      </w:r>
      <w:r w:rsidRPr="003568F0">
        <w:t xml:space="preserve"> previous activation treatment under UV-A irradiation in continuous air flow, </w:t>
      </w:r>
      <w:r w:rsidR="00266C46" w:rsidRPr="003568F0">
        <w:t>at least for twelve hours</w:t>
      </w:r>
      <w:r w:rsidRPr="003568F0">
        <w:t xml:space="preserve"> </w:t>
      </w:r>
      <w:r w:rsidR="00AF23A5" w:rsidRPr="003568F0">
        <w:t>is</w:t>
      </w:r>
      <w:r w:rsidR="00266C46" w:rsidRPr="003568F0">
        <w:t xml:space="preserve"> required</w:t>
      </w:r>
      <w:r w:rsidRPr="003568F0">
        <w:t>. During the activation step, the elimination of adsorbed species on titania active sites or impurities resulting fr</w:t>
      </w:r>
      <w:r w:rsidR="00AF23A5" w:rsidRPr="003568F0">
        <w:t>om the composition of cement is</w:t>
      </w:r>
      <w:r w:rsidRPr="003568F0">
        <w:t xml:space="preserve"> promoted. </w:t>
      </w:r>
      <w:r w:rsidRPr="003568F0">
        <w:rPr>
          <w:bCs/>
        </w:rPr>
        <w:t>Moreover, the effect of</w:t>
      </w:r>
      <w:r w:rsidR="00AF23A5" w:rsidRPr="003568F0">
        <w:rPr>
          <w:bCs/>
        </w:rPr>
        <w:t xml:space="preserve"> the nature of the substrate is</w:t>
      </w:r>
      <w:r w:rsidRPr="003568F0">
        <w:rPr>
          <w:bCs/>
        </w:rPr>
        <w:t xml:space="preserve"> clearly observed. Thus, </w:t>
      </w:r>
      <w:r w:rsidRPr="003568F0">
        <w:rPr>
          <w:bCs/>
        </w:rPr>
        <w:lastRenderedPageBreak/>
        <w:t>cementitious materials tested on glass substrates presented considerable formation of NO</w:t>
      </w:r>
      <w:r w:rsidRPr="003568F0">
        <w:rPr>
          <w:bCs/>
          <w:vertAlign w:val="subscript"/>
        </w:rPr>
        <w:t>2</w:t>
      </w:r>
      <w:r w:rsidRPr="003568F0">
        <w:rPr>
          <w:bCs/>
        </w:rPr>
        <w:t xml:space="preserve"> on the reactor outlet, especially when benchmark TiO</w:t>
      </w:r>
      <w:r w:rsidRPr="003568F0">
        <w:rPr>
          <w:bCs/>
          <w:vertAlign w:val="subscript"/>
        </w:rPr>
        <w:t>2</w:t>
      </w:r>
      <w:r w:rsidR="00AF23A5" w:rsidRPr="003568F0">
        <w:rPr>
          <w:bCs/>
        </w:rPr>
        <w:t>-P25 is</w:t>
      </w:r>
      <w:r w:rsidRPr="003568F0">
        <w:rPr>
          <w:bCs/>
        </w:rPr>
        <w:t xml:space="preserve"> analysed. Nevertheless, the </w:t>
      </w:r>
      <w:r w:rsidR="00985528" w:rsidRPr="003568F0">
        <w:rPr>
          <w:bCs/>
        </w:rPr>
        <w:t>release</w:t>
      </w:r>
      <w:r w:rsidRPr="003568F0">
        <w:rPr>
          <w:bCs/>
        </w:rPr>
        <w:t xml:space="preserve"> of nitrogen dioxide to the gas phase on </w:t>
      </w:r>
      <w:r w:rsidR="00266C46" w:rsidRPr="003568F0">
        <w:rPr>
          <w:bCs/>
        </w:rPr>
        <w:t xml:space="preserve">cementitious </w:t>
      </w:r>
      <w:r w:rsidRPr="003568F0">
        <w:rPr>
          <w:bCs/>
        </w:rPr>
        <w:t>asphalt</w:t>
      </w:r>
      <w:r w:rsidR="00266C46" w:rsidRPr="003568F0">
        <w:rPr>
          <w:bCs/>
        </w:rPr>
        <w:t xml:space="preserve"> </w:t>
      </w:r>
      <w:r w:rsidRPr="003568F0">
        <w:rPr>
          <w:bCs/>
        </w:rPr>
        <w:t xml:space="preserve">based samples </w:t>
      </w:r>
      <w:r w:rsidR="00AF23A5" w:rsidRPr="003568F0">
        <w:rPr>
          <w:bCs/>
        </w:rPr>
        <w:t>is</w:t>
      </w:r>
      <w:r w:rsidRPr="003568F0">
        <w:rPr>
          <w:bCs/>
        </w:rPr>
        <w:t xml:space="preserve"> supressed. T</w:t>
      </w:r>
      <w:r w:rsidR="00920EED" w:rsidRPr="003568F0">
        <w:rPr>
          <w:bCs/>
        </w:rPr>
        <w:t xml:space="preserve">he </w:t>
      </w:r>
      <w:r w:rsidRPr="003568F0">
        <w:rPr>
          <w:bCs/>
        </w:rPr>
        <w:t>porous structure</w:t>
      </w:r>
      <w:r w:rsidR="00920EED" w:rsidRPr="003568F0">
        <w:rPr>
          <w:bCs/>
        </w:rPr>
        <w:t>,</w:t>
      </w:r>
      <w:r w:rsidRPr="003568F0">
        <w:rPr>
          <w:bCs/>
        </w:rPr>
        <w:t xml:space="preserve"> the roughness and the cement loading </w:t>
      </w:r>
      <w:r w:rsidR="00920EED" w:rsidRPr="003568F0">
        <w:rPr>
          <w:bCs/>
        </w:rPr>
        <w:t xml:space="preserve">of shaped samples, </w:t>
      </w:r>
      <w:r w:rsidRPr="003568F0">
        <w:rPr>
          <w:bCs/>
        </w:rPr>
        <w:t xml:space="preserve">play a key role in </w:t>
      </w:r>
      <w:r w:rsidR="00920EED" w:rsidRPr="003568F0">
        <w:rPr>
          <w:bCs/>
        </w:rPr>
        <w:t>the photocatalytic performance</w:t>
      </w:r>
      <w:r w:rsidRPr="003568F0">
        <w:rPr>
          <w:bCs/>
        </w:rPr>
        <w:t xml:space="preserve">. </w:t>
      </w:r>
    </w:p>
    <w:p w:rsidR="00BE422E" w:rsidRPr="003568F0" w:rsidRDefault="00BE422E" w:rsidP="00433D6D">
      <w:pPr>
        <w:spacing w:line="360" w:lineRule="auto"/>
        <w:jc w:val="both"/>
        <w:rPr>
          <w:b/>
        </w:rPr>
      </w:pPr>
    </w:p>
    <w:p w:rsidR="00BE422E" w:rsidRPr="003568F0" w:rsidRDefault="00BE422E" w:rsidP="00433D6D">
      <w:pPr>
        <w:spacing w:line="360" w:lineRule="auto"/>
        <w:jc w:val="both"/>
        <w:rPr>
          <w:b/>
        </w:rPr>
      </w:pPr>
      <w:r w:rsidRPr="003568F0">
        <w:rPr>
          <w:b/>
        </w:rPr>
        <w:t>Acknowledgement</w:t>
      </w:r>
    </w:p>
    <w:p w:rsidR="00BE422E" w:rsidRPr="003568F0" w:rsidRDefault="00BE422E" w:rsidP="00433D6D">
      <w:pPr>
        <w:spacing w:line="360" w:lineRule="auto"/>
        <w:rPr>
          <w:b/>
        </w:rPr>
      </w:pPr>
    </w:p>
    <w:p w:rsidR="00BE422E" w:rsidRPr="003568F0" w:rsidRDefault="00BE422E" w:rsidP="00433D6D">
      <w:pPr>
        <w:spacing w:line="360" w:lineRule="auto"/>
        <w:jc w:val="both"/>
      </w:pPr>
      <w:r w:rsidRPr="003568F0">
        <w:t>The authors are grateful to the Spanish Ministry of Economy and Competiveness and the Centre for Industrial Technological Development (CDTI</w:t>
      </w:r>
      <w:r w:rsidR="00433D6D" w:rsidRPr="003568F0">
        <w:t xml:space="preserve"> </w:t>
      </w:r>
      <w:r w:rsidR="00614B09" w:rsidRPr="003568F0">
        <w:t xml:space="preserve">Ref. </w:t>
      </w:r>
      <w:r w:rsidR="00433D6D" w:rsidRPr="003568F0">
        <w:rPr>
          <w:iCs/>
        </w:rPr>
        <w:t>IDI-20180347</w:t>
      </w:r>
      <w:r w:rsidRPr="003568F0">
        <w:t>)</w:t>
      </w:r>
      <w:r w:rsidR="00614B09" w:rsidRPr="003568F0">
        <w:t xml:space="preserve"> </w:t>
      </w:r>
      <w:r w:rsidRPr="003568F0">
        <w:t>S</w:t>
      </w:r>
      <w:r w:rsidR="00614B09" w:rsidRPr="003568F0">
        <w:t>pain,</w:t>
      </w:r>
      <w:r w:rsidRPr="003568F0">
        <w:t xml:space="preserve"> for the financial support. Authors are also grateful to the Universidad Politécnica de Barcelona and COMSA-EMTE (Spain) for sample supply.</w:t>
      </w:r>
    </w:p>
    <w:p w:rsidR="00BE422E" w:rsidRPr="003568F0" w:rsidRDefault="00BE422E" w:rsidP="00433D6D">
      <w:pPr>
        <w:spacing w:line="360" w:lineRule="auto"/>
        <w:jc w:val="both"/>
      </w:pPr>
    </w:p>
    <w:p w:rsidR="00BE422E" w:rsidRPr="003568F0" w:rsidRDefault="00BE422E" w:rsidP="00433D6D">
      <w:pPr>
        <w:spacing w:line="360" w:lineRule="auto"/>
        <w:jc w:val="both"/>
        <w:rPr>
          <w:b/>
        </w:rPr>
      </w:pPr>
      <w:r w:rsidRPr="003568F0">
        <w:rPr>
          <w:b/>
        </w:rPr>
        <w:t>References</w:t>
      </w:r>
    </w:p>
    <w:p w:rsidR="00BE422E" w:rsidRPr="003568F0" w:rsidRDefault="00BE422E" w:rsidP="00433D6D">
      <w:pPr>
        <w:spacing w:line="360" w:lineRule="auto"/>
        <w:jc w:val="both"/>
      </w:pPr>
    </w:p>
    <w:p w:rsidR="00BE422E" w:rsidRPr="003568F0" w:rsidRDefault="00BE422E" w:rsidP="00433D6D">
      <w:pPr>
        <w:ind w:left="720" w:hanging="720"/>
        <w:jc w:val="both"/>
      </w:pPr>
      <w:r w:rsidRPr="003568F0">
        <w:t>Aïssa AH, Puzenat E, Plassais A, Herrmann J-M, Haehnel C, Guillard C (2011) Characterization and photocatalytic performance in air of cementitious materials containing TiO</w:t>
      </w:r>
      <w:r w:rsidRPr="003568F0">
        <w:rPr>
          <w:vertAlign w:val="subscript"/>
        </w:rPr>
        <w:t>2</w:t>
      </w:r>
      <w:r w:rsidRPr="003568F0">
        <w:t>. Case study of formaldehyde removal Appl Catal B 107:1-8 doi:https://doi.org/10.1016/j.apcatb.2011.06.012</w:t>
      </w:r>
    </w:p>
    <w:p w:rsidR="00BE422E" w:rsidRPr="003568F0" w:rsidRDefault="00BE422E" w:rsidP="00433D6D">
      <w:pPr>
        <w:ind w:left="720" w:hanging="720"/>
        <w:jc w:val="both"/>
      </w:pPr>
      <w:r w:rsidRPr="003568F0">
        <w:t>Alarcon-Ruiz L, Platret G, Massieu E, Ehrlacher A (2005) The use of thermal analysis in assessing the effect of temperature on a cement paste Cem Concr Res 35:609-613 doi:https://doi.org/10.1016/j.cemconres.2004.06.015</w:t>
      </w:r>
    </w:p>
    <w:p w:rsidR="00BE422E" w:rsidRPr="003568F0" w:rsidRDefault="00BE422E" w:rsidP="00433D6D">
      <w:pPr>
        <w:ind w:left="720" w:hanging="720"/>
        <w:jc w:val="both"/>
      </w:pPr>
      <w:r w:rsidRPr="003568F0">
        <w:t>Ângelo J, Andrade L, Madeira LM, Mendes A (2013) An overview of photocatalysis phenomena applied to NOx abatement J Environ Manage 129:522-539 doi:https://doi.org/10.1016/j.jenvman.2013.08.006</w:t>
      </w:r>
      <w:r w:rsidR="00ED7F75" w:rsidRPr="003568F0">
        <w:t>.</w:t>
      </w:r>
    </w:p>
    <w:p w:rsidR="00BE422E" w:rsidRPr="003568F0" w:rsidRDefault="00BE422E" w:rsidP="00433D6D">
      <w:pPr>
        <w:ind w:left="720" w:hanging="720"/>
        <w:jc w:val="both"/>
      </w:pPr>
      <w:r w:rsidRPr="003568F0">
        <w:t>Baudys M, Krýsa J, Zlámal M, Mills A (2015) Weathering tests of photocatalytic facade paints containing ZnO and TiO</w:t>
      </w:r>
      <w:r w:rsidRPr="003568F0">
        <w:rPr>
          <w:vertAlign w:val="subscript"/>
        </w:rPr>
        <w:t>2</w:t>
      </w:r>
      <w:r w:rsidRPr="003568F0">
        <w:t xml:space="preserve"> Chem Eng J 261:83-87 doi:https://doi.org/10.1016/j.cej.2014.03.112</w:t>
      </w:r>
      <w:r w:rsidR="00ED7F75" w:rsidRPr="003568F0">
        <w:t>.</w:t>
      </w:r>
    </w:p>
    <w:p w:rsidR="00BE422E" w:rsidRPr="003568F0" w:rsidRDefault="00BE422E" w:rsidP="00433D6D">
      <w:pPr>
        <w:ind w:left="720" w:hanging="720"/>
        <w:jc w:val="both"/>
      </w:pPr>
      <w:r w:rsidRPr="003568F0">
        <w:t>Bogutyn S, Arboleda C, Bordelon A, Tikalsky P (2015) Rejuvenation techniques for mortar containing photocatalytic TiO</w:t>
      </w:r>
      <w:r w:rsidRPr="003568F0">
        <w:rPr>
          <w:vertAlign w:val="subscript"/>
        </w:rPr>
        <w:t>2</w:t>
      </w:r>
      <w:r w:rsidRPr="003568F0">
        <w:t xml:space="preserve"> material Constr Build Mater 96:96-101 doi:10.1016/j.conbuildmat.2015.07.192</w:t>
      </w:r>
    </w:p>
    <w:p w:rsidR="00BE422E" w:rsidRPr="003568F0" w:rsidRDefault="00BE422E" w:rsidP="00433D6D">
      <w:pPr>
        <w:ind w:left="720" w:hanging="720"/>
        <w:jc w:val="both"/>
      </w:pPr>
      <w:r w:rsidRPr="003568F0">
        <w:t>Boonen E et al. (2015) Construction of a photocatalytic de-polluting field site in the Leopold II tunnel in Brussels J Environ Manage 155:136-144 doi:10.1016/j.jenvman.2015.03.001</w:t>
      </w:r>
    </w:p>
    <w:p w:rsidR="00BE422E" w:rsidRPr="003568F0" w:rsidRDefault="00BE422E" w:rsidP="00433D6D">
      <w:pPr>
        <w:ind w:left="720" w:hanging="720"/>
        <w:jc w:val="both"/>
      </w:pPr>
      <w:r w:rsidRPr="003568F0">
        <w:t>Boyjoo Y, Sun H, Liu J, Pareek VK, Wang S (2017) A review on photocatalysis for air treatment: From catalyst development to reactor design Chem Eng J 310:537-559 doi:https://doi.org/10.1016/j.cej.2016.06.090</w:t>
      </w:r>
      <w:r w:rsidR="00ED7F75" w:rsidRPr="003568F0">
        <w:t>.</w:t>
      </w:r>
    </w:p>
    <w:p w:rsidR="00BE422E" w:rsidRPr="003568F0" w:rsidRDefault="00BE422E" w:rsidP="00433D6D">
      <w:pPr>
        <w:ind w:left="720" w:hanging="720"/>
        <w:jc w:val="both"/>
      </w:pPr>
      <w:r w:rsidRPr="003568F0">
        <w:t>Butler AR, Williams DLH (1993) The physiological role of nitric oxide Chem Soc Rev 22:233-241 doi:10.1039/CS9932200233</w:t>
      </w:r>
      <w:r w:rsidR="00ED7F75" w:rsidRPr="003568F0">
        <w:t>.</w:t>
      </w:r>
    </w:p>
    <w:p w:rsidR="00BE422E" w:rsidRPr="003568F0" w:rsidRDefault="00BE422E" w:rsidP="00433D6D">
      <w:pPr>
        <w:ind w:left="720" w:hanging="720"/>
        <w:jc w:val="both"/>
      </w:pPr>
      <w:r w:rsidRPr="003568F0">
        <w:t>Folli A, Pade C, Hansen TB, De Marco T, Macphee DE (2012) TiO</w:t>
      </w:r>
      <w:r w:rsidRPr="003568F0">
        <w:rPr>
          <w:vertAlign w:val="subscript"/>
        </w:rPr>
        <w:t>2</w:t>
      </w:r>
      <w:r w:rsidRPr="003568F0">
        <w:t xml:space="preserve"> photocatalysis in cementitious systems: Insights into self-cleaning and depollution chemistry Cem Concr Res 42:539-548 doi:10.1016/j.cemconres.2011.12.001</w:t>
      </w:r>
      <w:r w:rsidR="00ED7F75" w:rsidRPr="003568F0">
        <w:t>.</w:t>
      </w:r>
    </w:p>
    <w:p w:rsidR="00BE422E" w:rsidRPr="003568F0" w:rsidRDefault="00BE422E" w:rsidP="00433D6D">
      <w:pPr>
        <w:ind w:left="720" w:hanging="720"/>
        <w:jc w:val="both"/>
      </w:pPr>
      <w:r w:rsidRPr="003568F0">
        <w:lastRenderedPageBreak/>
        <w:t>Fujishima A, Rao TN, Tryk DA (2000) Titanium dioxide photocatalysis J Photoch Photobio C 1:1-21 doi:https://doi.org/10.1016/S1389-5567(00)00002-2</w:t>
      </w:r>
    </w:p>
    <w:p w:rsidR="00BE422E" w:rsidRPr="003568F0" w:rsidRDefault="00BE422E" w:rsidP="00433D6D">
      <w:pPr>
        <w:ind w:left="720" w:hanging="720"/>
        <w:jc w:val="both"/>
      </w:pPr>
      <w:r w:rsidRPr="003568F0">
        <w:t>Grattan-Bellew PE (1996) Microstructural investigation of deteriorated Portland cement concretes Constr Build Mater 10:3-16 doi:10.1016/0950-0618(95)00066-6</w:t>
      </w:r>
      <w:r w:rsidR="00ED7F75" w:rsidRPr="003568F0">
        <w:t>.</w:t>
      </w:r>
    </w:p>
    <w:p w:rsidR="00BE422E" w:rsidRPr="003568F0" w:rsidRDefault="00BE422E" w:rsidP="00433D6D">
      <w:pPr>
        <w:ind w:left="720" w:hanging="720"/>
        <w:jc w:val="both"/>
      </w:pPr>
      <w:r w:rsidRPr="003568F0">
        <w:t>Hassan MM, Dylla H, Mohammad LN, Rupnow T (2010) Evaluation of the durability of titanium dioxide photocatalyst coating for concrete pavement Constr Build Mater 24:1456-1461 doi:10.1016/j.conbuildmat.2010.01.009</w:t>
      </w:r>
      <w:r w:rsidR="00ED7F75" w:rsidRPr="003568F0">
        <w:t>.</w:t>
      </w:r>
    </w:p>
    <w:p w:rsidR="00BE422E" w:rsidRPr="003568F0" w:rsidRDefault="00BE422E" w:rsidP="00433D6D">
      <w:pPr>
        <w:ind w:left="720" w:hanging="720"/>
        <w:jc w:val="both"/>
      </w:pPr>
      <w:r w:rsidRPr="003568F0">
        <w:t>Hüsken G, Hunger M, Brouwers HJH (2009) Experimental study of photocatalytic concrete products for air purification Build Environ 44:2463-2474 doi:10.1016/j.buildenv.2009.04.010</w:t>
      </w:r>
      <w:r w:rsidR="00ED7F75" w:rsidRPr="003568F0">
        <w:t>.</w:t>
      </w:r>
    </w:p>
    <w:p w:rsidR="00BE422E" w:rsidRPr="003568F0" w:rsidRDefault="00BE422E" w:rsidP="00433D6D">
      <w:pPr>
        <w:ind w:left="720" w:hanging="720"/>
        <w:jc w:val="both"/>
      </w:pPr>
      <w:r w:rsidRPr="003568F0">
        <w:t>ISO 22197-1:</w:t>
      </w:r>
      <w:r w:rsidR="008934F7" w:rsidRPr="003568F0">
        <w:t>2007</w:t>
      </w:r>
      <w:r w:rsidRPr="003568F0">
        <w:t xml:space="preserve"> Fine ceramics (advanced ceramics, advanced technical ceramics) — Test method for air-purification performance of semiconducting photocatalytic materials — Part 1: Removal of nitric oxide. </w:t>
      </w:r>
    </w:p>
    <w:p w:rsidR="009806DC" w:rsidRPr="003568F0" w:rsidRDefault="009806DC" w:rsidP="001170C5">
      <w:pPr>
        <w:ind w:left="720" w:hanging="720"/>
        <w:jc w:val="both"/>
      </w:pPr>
      <w:r w:rsidRPr="003568F0">
        <w:t>Jansson I, Suárez, S,</w:t>
      </w:r>
      <w:r w:rsidR="001170C5" w:rsidRPr="003568F0">
        <w:t xml:space="preserve"> García-García FJ, </w:t>
      </w:r>
      <w:r w:rsidRPr="003568F0">
        <w:t xml:space="preserve">Sánchez B, </w:t>
      </w:r>
      <w:r w:rsidR="001170C5" w:rsidRPr="003568F0">
        <w:t>(2017) ZSM-5/TiO</w:t>
      </w:r>
      <w:r w:rsidR="001170C5" w:rsidRPr="003568F0">
        <w:rPr>
          <w:vertAlign w:val="subscript"/>
        </w:rPr>
        <w:t>2</w:t>
      </w:r>
      <w:r w:rsidR="001170C5" w:rsidRPr="003568F0">
        <w:t xml:space="preserve"> Hybrid Photocatalysts: Influence of the Preparation Method and Synergistic Effect Topic C</w:t>
      </w:r>
      <w:r w:rsidRPr="003568F0">
        <w:t>atal</w:t>
      </w:r>
      <w:r w:rsidR="001170C5" w:rsidRPr="003568F0">
        <w:t xml:space="preserve"> doi: 10.1007/s11244-017-0805-1.</w:t>
      </w:r>
    </w:p>
    <w:p w:rsidR="00D003D8" w:rsidRPr="003568F0" w:rsidRDefault="00D003D8" w:rsidP="00D003D8">
      <w:pPr>
        <w:ind w:left="720" w:hanging="720"/>
        <w:jc w:val="both"/>
      </w:pPr>
      <w:r w:rsidRPr="003568F0">
        <w:t>Klein NS, Bachmann J, Aguado A, Toralles-Carbonari B (2012) Evaluation of the wettability of mortar component granular materials through contact angle measurements Cem Concr Res 42 1611–1620.</w:t>
      </w:r>
    </w:p>
    <w:p w:rsidR="001170C5" w:rsidRPr="003568F0" w:rsidRDefault="00BE422E" w:rsidP="00433D6D">
      <w:pPr>
        <w:ind w:left="720" w:hanging="720"/>
        <w:jc w:val="both"/>
      </w:pPr>
      <w:r w:rsidRPr="003568F0">
        <w:t>Lim TH, Jeong SM, Kim SD, Gyenis J (2000) Photocatalytic decomposition of NO by TiO</w:t>
      </w:r>
      <w:r w:rsidRPr="003568F0">
        <w:rPr>
          <w:vertAlign w:val="subscript"/>
        </w:rPr>
        <w:t>2</w:t>
      </w:r>
      <w:r w:rsidRPr="003568F0">
        <w:t xml:space="preserve"> particles J Photoch Photobio A 134:209-217 doi:https://doi.org/10.1016/S1010-6030(00)00265-3</w:t>
      </w:r>
      <w:r w:rsidR="00D003D8" w:rsidRPr="003568F0">
        <w:t>.</w:t>
      </w:r>
    </w:p>
    <w:p w:rsidR="00BE422E" w:rsidRPr="003568F0" w:rsidRDefault="00BE422E" w:rsidP="00433D6D">
      <w:pPr>
        <w:ind w:left="720" w:hanging="720"/>
        <w:jc w:val="both"/>
      </w:pPr>
      <w:r w:rsidRPr="003568F0">
        <w:t>Macphee DE, Folli A (2016) Photocatalytic concretes — The interface between photocatalysis and cement chemistry Cem Concr Res 85:48-54 doi:10.1016/j.cemconres.2016.03.007</w:t>
      </w:r>
      <w:r w:rsidR="000C23E9" w:rsidRPr="003568F0">
        <w:t>.</w:t>
      </w:r>
    </w:p>
    <w:p w:rsidR="00BE422E" w:rsidRPr="003568F0" w:rsidRDefault="00BE422E" w:rsidP="00433D6D">
      <w:pPr>
        <w:ind w:left="720" w:hanging="720"/>
        <w:jc w:val="both"/>
      </w:pPr>
      <w:r w:rsidRPr="003568F0">
        <w:t>Maggos T, Plassais A, Bartzis J, Vasilakos C, Moussiopoulos N, Bonafous L (2008) Photocatalytic degradation of NOx in a pilot street canyon configuration using TiO</w:t>
      </w:r>
      <w:r w:rsidRPr="003568F0">
        <w:rPr>
          <w:vertAlign w:val="subscript"/>
        </w:rPr>
        <w:t>2</w:t>
      </w:r>
      <w:r w:rsidRPr="003568F0">
        <w:t xml:space="preserve"> -mortar panels Environ Monit Assess 136:35-44 doi:10.1007/s10661-007-9722-2</w:t>
      </w:r>
      <w:r w:rsidR="000C23E9" w:rsidRPr="003568F0">
        <w:t>.</w:t>
      </w:r>
    </w:p>
    <w:p w:rsidR="00BE422E" w:rsidRPr="003568F0" w:rsidRDefault="00BE422E" w:rsidP="00433D6D">
      <w:pPr>
        <w:ind w:left="720" w:hanging="720"/>
        <w:jc w:val="both"/>
      </w:pPr>
      <w:r w:rsidRPr="003568F0">
        <w:t>Nonnet E, Lequeux N, Boch P (1999) Elastic properties of high alumina cement castables from room temperature to 1600°C J Eur Ceram Soc 19:1575-1583 doi:10.1016/S0955-2219(98)00255-6</w:t>
      </w:r>
      <w:r w:rsidR="000C23E9" w:rsidRPr="003568F0">
        <w:t>.</w:t>
      </w:r>
    </w:p>
    <w:p w:rsidR="00BE422E" w:rsidRPr="003568F0" w:rsidRDefault="00BE422E" w:rsidP="00433D6D">
      <w:pPr>
        <w:ind w:left="720" w:hanging="720"/>
        <w:jc w:val="both"/>
      </w:pPr>
      <w:r w:rsidRPr="003568F0">
        <w:t>Pérez-Nicolás M, Balbuena J, Cruz-Yusta M, Sánchez L, Navarro-Blasco I, Fernández JM, Alvarez JI (2015) Photocatalytic NOx abatement by calcium aluminate cements modified with TiO</w:t>
      </w:r>
      <w:r w:rsidRPr="003568F0">
        <w:rPr>
          <w:vertAlign w:val="subscript"/>
        </w:rPr>
        <w:t>2</w:t>
      </w:r>
      <w:r w:rsidRPr="003568F0">
        <w:t>: Improved NO</w:t>
      </w:r>
      <w:r w:rsidRPr="003568F0">
        <w:rPr>
          <w:vertAlign w:val="subscript"/>
        </w:rPr>
        <w:t>2</w:t>
      </w:r>
      <w:r w:rsidRPr="003568F0">
        <w:t xml:space="preserve"> conversion Cem Concr Res 70:67-76 doi:10.1016/j.cemconres.2015.01.011</w:t>
      </w:r>
      <w:r w:rsidR="000C23E9" w:rsidRPr="003568F0">
        <w:t>.</w:t>
      </w:r>
    </w:p>
    <w:p w:rsidR="00BE422E" w:rsidRPr="003568F0" w:rsidRDefault="00BE422E" w:rsidP="00433D6D">
      <w:pPr>
        <w:ind w:left="720" w:hanging="720"/>
        <w:jc w:val="both"/>
      </w:pPr>
      <w:r w:rsidRPr="003568F0">
        <w:t>Serpone N (2018) Heterogeneous Photocatalysis and Prospects of TiO</w:t>
      </w:r>
      <w:r w:rsidRPr="003568F0">
        <w:rPr>
          <w:vertAlign w:val="subscript"/>
        </w:rPr>
        <w:t>2</w:t>
      </w:r>
      <w:r w:rsidRPr="003568F0">
        <w:t>-Based Photocatalytic DeNOxing the Atmospheric Environment Catalysts 8:553 doi:10.3390/catal8110553</w:t>
      </w:r>
      <w:r w:rsidR="000C23E9" w:rsidRPr="003568F0">
        <w:t>.</w:t>
      </w:r>
    </w:p>
    <w:p w:rsidR="00BE422E" w:rsidRPr="003568F0" w:rsidRDefault="00BE422E" w:rsidP="00433D6D">
      <w:pPr>
        <w:ind w:left="720" w:hanging="720"/>
        <w:jc w:val="both"/>
      </w:pPr>
      <w:r w:rsidRPr="003568F0">
        <w:t>Sikkema JK, Ong SK, Alleman JE (2015) Photocatalytic concrete pavements: Laboratory investigation of NO oxidation rate under varied environmental conditions Constr Build Mater 100:305-314 doi:https://doi.org/10.1016/j.conbuildmat.2015.10.005</w:t>
      </w:r>
      <w:r w:rsidR="000C23E9" w:rsidRPr="003568F0">
        <w:t>.</w:t>
      </w:r>
    </w:p>
    <w:p w:rsidR="00BE422E" w:rsidRPr="003568F0" w:rsidRDefault="00BE422E" w:rsidP="00433D6D">
      <w:pPr>
        <w:ind w:left="720" w:hanging="720"/>
        <w:jc w:val="both"/>
      </w:pPr>
      <w:r w:rsidRPr="003568F0">
        <w:t>Suárez S, Coronado J, Portela R, Martín J, Yates M, Avila P, Sánchez B (2008) On the Preparation of TiO^sub 2^-Sepiolite Hybrid Materials for the Photocatalytic Degradation of TCE: Influence of TiO^sub 2^ Distribution in the Mineralization Environ Sci Technol 42:5892 doi:10.1021/es703257w</w:t>
      </w:r>
      <w:r w:rsidR="000C23E9" w:rsidRPr="003568F0">
        <w:t>.</w:t>
      </w:r>
    </w:p>
    <w:p w:rsidR="00BE422E" w:rsidRPr="003568F0" w:rsidRDefault="00BE422E" w:rsidP="00433D6D">
      <w:pPr>
        <w:ind w:left="720" w:hanging="720"/>
        <w:jc w:val="both"/>
      </w:pPr>
      <w:r w:rsidRPr="003568F0">
        <w:t xml:space="preserve">Toro C, Jobson BT, Haselbach L, Shen S, Chung SH (2016) Photoactive roadways: Determination of CO, NO and VOC uptake coefficients and photolabile side </w:t>
      </w:r>
      <w:r w:rsidRPr="003568F0">
        <w:lastRenderedPageBreak/>
        <w:t>product yields on TiO</w:t>
      </w:r>
      <w:r w:rsidRPr="003568F0">
        <w:rPr>
          <w:vertAlign w:val="subscript"/>
        </w:rPr>
        <w:t>2</w:t>
      </w:r>
      <w:r w:rsidRPr="003568F0">
        <w:t xml:space="preserve"> treated asphalt and concrete Atmos Environ 139:37-45 doi:https://doi.org/10.1016/j.atmosenv.2016.05.007</w:t>
      </w:r>
      <w:r w:rsidR="000C23E9" w:rsidRPr="003568F0">
        <w:t>.</w:t>
      </w:r>
    </w:p>
    <w:p w:rsidR="00BE422E" w:rsidRPr="003568F0" w:rsidRDefault="00BE422E" w:rsidP="00433D6D">
      <w:pPr>
        <w:ind w:left="720" w:hanging="720"/>
        <w:jc w:val="both"/>
      </w:pPr>
      <w:r w:rsidRPr="003568F0">
        <w:t>Wayne RP (1993) Chemistry of atmospheres : an introduction to the chemistry of the atmospheres of Earth, the Planets, and their Satellites. 2nd ed. edn. Oxford : Clarendon Press, Oxford</w:t>
      </w:r>
      <w:r w:rsidR="000C23E9" w:rsidRPr="003568F0">
        <w:t>.</w:t>
      </w:r>
    </w:p>
    <w:p w:rsidR="00BE422E" w:rsidRPr="003568F0" w:rsidRDefault="00BE422E" w:rsidP="00433D6D">
      <w:pPr>
        <w:ind w:left="720" w:hanging="720"/>
        <w:jc w:val="both"/>
      </w:pPr>
      <w:r w:rsidRPr="003568F0">
        <w:t>Yang L, Hakki A, Zheng L, Jones MR, Wang F, Macphee DE (2019) Photocatalytic concrete for NOx abatement: Supported TiO</w:t>
      </w:r>
      <w:r w:rsidRPr="003568F0">
        <w:rPr>
          <w:vertAlign w:val="subscript"/>
        </w:rPr>
        <w:t>2</w:t>
      </w:r>
      <w:r w:rsidRPr="003568F0">
        <w:t xml:space="preserve"> efficiencies and impacts Cem Concr Res 116:57-64 doi:https://doi.org/10.1016/j.cemconres.2018.11.002</w:t>
      </w:r>
      <w:r w:rsidR="000C23E9" w:rsidRPr="003568F0">
        <w:t>.</w:t>
      </w:r>
    </w:p>
    <w:p w:rsidR="00BE422E" w:rsidRPr="003568F0" w:rsidRDefault="00BE422E" w:rsidP="00433D6D">
      <w:pPr>
        <w:ind w:left="720" w:hanging="720"/>
        <w:jc w:val="both"/>
      </w:pPr>
      <w:r w:rsidRPr="003568F0">
        <w:t>Yu JC-C, Nguyen V-H, Lasek J, Wu JCS (2017) Titania nanosheet photocatalysts with dominantly exposed (001) reactive facets for photocatalytic NOx abatement Appl Catal B 219:391-400 doi:10.1016/j.apcatb.2017.07.077</w:t>
      </w:r>
      <w:r w:rsidR="000C23E9" w:rsidRPr="003568F0">
        <w:t>.</w:t>
      </w:r>
    </w:p>
    <w:p w:rsidR="00BE422E" w:rsidRPr="003568F0" w:rsidRDefault="00BE422E" w:rsidP="00433D6D">
      <w:pPr>
        <w:ind w:left="720" w:hanging="720"/>
        <w:jc w:val="both"/>
      </w:pPr>
      <w:r w:rsidRPr="003568F0">
        <w:t>Zhou Q, Glasser FP (2001) Thermal stability and decomposition mechanisms of ettringite at &lt;120°C Cem Concr Res 31:1333-1339 doi:10.1016/S0008-8846(01)00558-0</w:t>
      </w:r>
      <w:r w:rsidR="000C23E9" w:rsidRPr="003568F0">
        <w:t>.</w:t>
      </w:r>
    </w:p>
    <w:p w:rsidR="00BE422E" w:rsidRPr="003568F0" w:rsidRDefault="00BE422E" w:rsidP="00433D6D">
      <w:pPr>
        <w:jc w:val="both"/>
        <w:rPr>
          <w:noProof/>
        </w:rPr>
      </w:pPr>
    </w:p>
    <w:p w:rsidR="00BE422E" w:rsidRPr="003568F0" w:rsidRDefault="00BE422E" w:rsidP="00433D6D">
      <w:pPr>
        <w:spacing w:line="360" w:lineRule="auto"/>
        <w:jc w:val="both"/>
        <w:rPr>
          <w:b/>
        </w:rPr>
      </w:pPr>
    </w:p>
    <w:p w:rsidR="00971ECA" w:rsidRPr="003568F0" w:rsidRDefault="00971ECA"/>
    <w:sectPr w:rsidR="00971ECA" w:rsidRPr="003568F0" w:rsidSect="00433D6D">
      <w:footerReference w:type="default" r:id="rId27"/>
      <w:pgSz w:w="11906" w:h="16838"/>
      <w:pgMar w:top="1417" w:right="1701" w:bottom="1417"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34F7" w:rsidRDefault="008934F7">
      <w:r>
        <w:separator/>
      </w:r>
    </w:p>
  </w:endnote>
  <w:endnote w:type="continuationSeparator" w:id="0">
    <w:p w:rsidR="008934F7" w:rsidRDefault="008934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yriadPro-Semibold">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TIX-Regular">
    <w:panose1 w:val="00000000000000000000"/>
    <w:charset w:val="00"/>
    <w:family w:val="roman"/>
    <w:notTrueType/>
    <w:pitch w:val="default"/>
    <w:sig w:usb0="00000003" w:usb1="00000000" w:usb2="00000000" w:usb3="00000000" w:csb0="00000001" w:csb1="00000000"/>
  </w:font>
  <w:font w:name="Wingdings 3">
    <w:panose1 w:val="050401020108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34F7" w:rsidRDefault="008934F7">
    <w:pPr>
      <w:pStyle w:val="Piedepgina"/>
      <w:jc w:val="right"/>
    </w:pPr>
    <w:r>
      <w:fldChar w:fldCharType="begin"/>
    </w:r>
    <w:r>
      <w:instrText>PAGE   \* MERGEFORMAT</w:instrText>
    </w:r>
    <w:r>
      <w:fldChar w:fldCharType="separate"/>
    </w:r>
    <w:r w:rsidR="003568F0" w:rsidRPr="003568F0">
      <w:rPr>
        <w:noProof/>
        <w:lang w:val="es-ES"/>
      </w:rPr>
      <w:t>19</w:t>
    </w:r>
    <w:r>
      <w:fldChar w:fldCharType="end"/>
    </w:r>
  </w:p>
  <w:p w:rsidR="008934F7" w:rsidRDefault="008934F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34F7" w:rsidRDefault="008934F7">
      <w:r>
        <w:separator/>
      </w:r>
    </w:p>
  </w:footnote>
  <w:footnote w:type="continuationSeparator" w:id="0">
    <w:p w:rsidR="008934F7" w:rsidRDefault="008934F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activeWritingStyle w:appName="MSWord" w:lang="es-ES" w:vendorID="64" w:dllVersion="131078" w:nlCheck="1" w:checkStyle="0"/>
  <w:activeWritingStyle w:appName="MSWord" w:lang="en-GB" w:vendorID="64" w:dllVersion="131078" w:nlCheck="1" w:checkStyle="1"/>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BE422E"/>
    <w:rsid w:val="00014785"/>
    <w:rsid w:val="000329E3"/>
    <w:rsid w:val="0004218F"/>
    <w:rsid w:val="000514E1"/>
    <w:rsid w:val="00071C8B"/>
    <w:rsid w:val="000C23E9"/>
    <w:rsid w:val="000F36F2"/>
    <w:rsid w:val="001170C5"/>
    <w:rsid w:val="0015174F"/>
    <w:rsid w:val="00165CFA"/>
    <w:rsid w:val="00170B0A"/>
    <w:rsid w:val="00192739"/>
    <w:rsid w:val="00266C46"/>
    <w:rsid w:val="00276416"/>
    <w:rsid w:val="00281146"/>
    <w:rsid w:val="002A6F7C"/>
    <w:rsid w:val="002B2085"/>
    <w:rsid w:val="002B766E"/>
    <w:rsid w:val="002E6CB4"/>
    <w:rsid w:val="002F5630"/>
    <w:rsid w:val="002F6AB0"/>
    <w:rsid w:val="00300C17"/>
    <w:rsid w:val="003568F0"/>
    <w:rsid w:val="003672B2"/>
    <w:rsid w:val="003B16A0"/>
    <w:rsid w:val="003D753A"/>
    <w:rsid w:val="0040075B"/>
    <w:rsid w:val="00433D6D"/>
    <w:rsid w:val="004679A4"/>
    <w:rsid w:val="00471264"/>
    <w:rsid w:val="00486B28"/>
    <w:rsid w:val="00493ADF"/>
    <w:rsid w:val="00493CBB"/>
    <w:rsid w:val="004F7DD6"/>
    <w:rsid w:val="005235D1"/>
    <w:rsid w:val="00541840"/>
    <w:rsid w:val="00575788"/>
    <w:rsid w:val="005A592C"/>
    <w:rsid w:val="005B1231"/>
    <w:rsid w:val="00614B09"/>
    <w:rsid w:val="00615D89"/>
    <w:rsid w:val="00620132"/>
    <w:rsid w:val="006263BC"/>
    <w:rsid w:val="0065458E"/>
    <w:rsid w:val="00656ACE"/>
    <w:rsid w:val="006620E9"/>
    <w:rsid w:val="006655AC"/>
    <w:rsid w:val="00674C17"/>
    <w:rsid w:val="006976D4"/>
    <w:rsid w:val="006B40CB"/>
    <w:rsid w:val="006B65B2"/>
    <w:rsid w:val="0074316E"/>
    <w:rsid w:val="00775080"/>
    <w:rsid w:val="00787D51"/>
    <w:rsid w:val="007A128A"/>
    <w:rsid w:val="007C433E"/>
    <w:rsid w:val="007E2218"/>
    <w:rsid w:val="00800C04"/>
    <w:rsid w:val="00840F72"/>
    <w:rsid w:val="00887A9E"/>
    <w:rsid w:val="008934F7"/>
    <w:rsid w:val="008F68F8"/>
    <w:rsid w:val="00920EED"/>
    <w:rsid w:val="0093733C"/>
    <w:rsid w:val="00971ECA"/>
    <w:rsid w:val="009806DC"/>
    <w:rsid w:val="00985528"/>
    <w:rsid w:val="00986B8B"/>
    <w:rsid w:val="00995C9D"/>
    <w:rsid w:val="009B739F"/>
    <w:rsid w:val="009C258E"/>
    <w:rsid w:val="009C7833"/>
    <w:rsid w:val="009F54D5"/>
    <w:rsid w:val="00A448F0"/>
    <w:rsid w:val="00A61D36"/>
    <w:rsid w:val="00A710E2"/>
    <w:rsid w:val="00A9609E"/>
    <w:rsid w:val="00AD0560"/>
    <w:rsid w:val="00AF23A5"/>
    <w:rsid w:val="00B24728"/>
    <w:rsid w:val="00B56E08"/>
    <w:rsid w:val="00BE422E"/>
    <w:rsid w:val="00C01F19"/>
    <w:rsid w:val="00C649F0"/>
    <w:rsid w:val="00C96255"/>
    <w:rsid w:val="00CA1C23"/>
    <w:rsid w:val="00D003D8"/>
    <w:rsid w:val="00D46837"/>
    <w:rsid w:val="00D55F34"/>
    <w:rsid w:val="00D574D4"/>
    <w:rsid w:val="00D73568"/>
    <w:rsid w:val="00D764C5"/>
    <w:rsid w:val="00DB3D5A"/>
    <w:rsid w:val="00DC3BF0"/>
    <w:rsid w:val="00DC67F4"/>
    <w:rsid w:val="00E37C2E"/>
    <w:rsid w:val="00E95140"/>
    <w:rsid w:val="00EC33E9"/>
    <w:rsid w:val="00ED7F75"/>
    <w:rsid w:val="00F649E9"/>
    <w:rsid w:val="00F930E1"/>
    <w:rsid w:val="00FD3A1B"/>
    <w:rsid w:val="00FF07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4"/>
    <o:shapelayout v:ext="edit">
      <o:idmap v:ext="edit" data="1"/>
    </o:shapelayout>
  </w:shapeDefaults>
  <w:decimalSymbol w:val="."/>
  <w:listSeparator w:val=";"/>
  <w14:docId w14:val="3E9A36E0"/>
  <w15:docId w15:val="{7055CE6F-DD9F-4035-BCB7-FAD5F6696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422E"/>
    <w:pPr>
      <w:spacing w:after="0" w:line="240" w:lineRule="auto"/>
    </w:pPr>
    <w:rPr>
      <w:rFonts w:ascii="Times New Roman" w:eastAsia="MS Mincho" w:hAnsi="Times New Roman" w:cs="Times New Roman"/>
      <w:sz w:val="24"/>
      <w:szCs w:val="24"/>
      <w:lang w:val="en-GB" w:eastAsia="ja-JP"/>
    </w:rPr>
  </w:style>
  <w:style w:type="paragraph" w:styleId="Ttulo1">
    <w:name w:val="heading 1"/>
    <w:basedOn w:val="Normal"/>
    <w:next w:val="Normal"/>
    <w:link w:val="Ttulo1Car"/>
    <w:uiPriority w:val="9"/>
    <w:qFormat/>
    <w:rsid w:val="00CA1C23"/>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CA1C23"/>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9"/>
    <w:qFormat/>
    <w:rsid w:val="00CA1C23"/>
    <w:pPr>
      <w:outlineLvl w:val="2"/>
    </w:pPr>
    <w:rPr>
      <w:b/>
      <w:bCs/>
      <w:sz w:val="26"/>
      <w:szCs w:val="26"/>
    </w:rPr>
  </w:style>
  <w:style w:type="paragraph" w:styleId="Ttulo4">
    <w:name w:val="heading 4"/>
    <w:basedOn w:val="Normal"/>
    <w:next w:val="Normal"/>
    <w:link w:val="Ttulo4Car"/>
    <w:uiPriority w:val="9"/>
    <w:unhideWhenUsed/>
    <w:qFormat/>
    <w:rsid w:val="00CA1C23"/>
    <w:pPr>
      <w:keepNext/>
      <w:keepLines/>
      <w:spacing w:before="4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unhideWhenUsed/>
    <w:qFormat/>
    <w:rsid w:val="00CA1C23"/>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A1C23"/>
    <w:rPr>
      <w:rFonts w:asciiTheme="majorHAnsi" w:eastAsiaTheme="majorEastAsia" w:hAnsiTheme="majorHAnsi" w:cstheme="majorBidi"/>
      <w:color w:val="2E74B5" w:themeColor="accent1" w:themeShade="BF"/>
      <w:sz w:val="32"/>
      <w:szCs w:val="32"/>
      <w:lang w:eastAsia="en-GB"/>
    </w:rPr>
  </w:style>
  <w:style w:type="character" w:customStyle="1" w:styleId="Ttulo2Car">
    <w:name w:val="Título 2 Car"/>
    <w:basedOn w:val="Fuentedeprrafopredeter"/>
    <w:link w:val="Ttulo2"/>
    <w:uiPriority w:val="9"/>
    <w:rsid w:val="00CA1C23"/>
    <w:rPr>
      <w:rFonts w:asciiTheme="majorHAnsi" w:eastAsiaTheme="majorEastAsia" w:hAnsiTheme="majorHAnsi" w:cstheme="majorBidi"/>
      <w:color w:val="2E74B5" w:themeColor="accent1" w:themeShade="BF"/>
      <w:sz w:val="26"/>
      <w:szCs w:val="26"/>
      <w:lang w:eastAsia="en-GB"/>
    </w:rPr>
  </w:style>
  <w:style w:type="character" w:customStyle="1" w:styleId="Ttulo3Car">
    <w:name w:val="Título 3 Car"/>
    <w:basedOn w:val="Fuentedeprrafopredeter"/>
    <w:link w:val="Ttulo3"/>
    <w:uiPriority w:val="99"/>
    <w:rsid w:val="00CA1C23"/>
    <w:rPr>
      <w:rFonts w:ascii="Arial" w:eastAsiaTheme="minorEastAsia" w:hAnsi="Arial" w:cs="Arial"/>
      <w:b/>
      <w:bCs/>
      <w:color w:val="000000"/>
      <w:sz w:val="26"/>
      <w:szCs w:val="26"/>
      <w:lang w:eastAsia="en-GB"/>
    </w:rPr>
  </w:style>
  <w:style w:type="character" w:customStyle="1" w:styleId="Ttulo4Car">
    <w:name w:val="Título 4 Car"/>
    <w:basedOn w:val="Fuentedeprrafopredeter"/>
    <w:link w:val="Ttulo4"/>
    <w:uiPriority w:val="9"/>
    <w:rsid w:val="00CA1C23"/>
    <w:rPr>
      <w:rFonts w:asciiTheme="majorHAnsi" w:eastAsiaTheme="majorEastAsia" w:hAnsiTheme="majorHAnsi" w:cstheme="majorBidi"/>
      <w:i/>
      <w:iCs/>
      <w:color w:val="2E74B5" w:themeColor="accent1" w:themeShade="BF"/>
      <w:sz w:val="24"/>
      <w:szCs w:val="24"/>
      <w:lang w:eastAsia="en-GB"/>
    </w:rPr>
  </w:style>
  <w:style w:type="character" w:customStyle="1" w:styleId="Ttulo5Car">
    <w:name w:val="Título 5 Car"/>
    <w:basedOn w:val="Fuentedeprrafopredeter"/>
    <w:link w:val="Ttulo5"/>
    <w:uiPriority w:val="9"/>
    <w:rsid w:val="00CA1C23"/>
    <w:rPr>
      <w:rFonts w:asciiTheme="majorHAnsi" w:eastAsiaTheme="majorEastAsia" w:hAnsiTheme="majorHAnsi" w:cstheme="majorBidi"/>
      <w:color w:val="2E74B5" w:themeColor="accent1" w:themeShade="BF"/>
      <w:sz w:val="24"/>
      <w:szCs w:val="24"/>
      <w:lang w:eastAsia="en-GB"/>
    </w:rPr>
  </w:style>
  <w:style w:type="paragraph" w:styleId="Textonotapie">
    <w:name w:val="footnote text"/>
    <w:basedOn w:val="Normal"/>
    <w:link w:val="TextonotapieCar"/>
    <w:unhideWhenUsed/>
    <w:qFormat/>
    <w:rsid w:val="00CA1C23"/>
    <w:rPr>
      <w:sz w:val="20"/>
      <w:szCs w:val="20"/>
    </w:rPr>
  </w:style>
  <w:style w:type="character" w:customStyle="1" w:styleId="TextonotapieCar">
    <w:name w:val="Texto nota pie Car"/>
    <w:basedOn w:val="Fuentedeprrafopredeter"/>
    <w:link w:val="Textonotapie"/>
    <w:rsid w:val="00CA1C23"/>
    <w:rPr>
      <w:rFonts w:ascii="Arial" w:eastAsiaTheme="minorEastAsia" w:hAnsi="Arial" w:cs="Arial"/>
      <w:color w:val="000000"/>
      <w:sz w:val="20"/>
      <w:szCs w:val="20"/>
      <w:lang w:eastAsia="en-GB"/>
    </w:rPr>
  </w:style>
  <w:style w:type="paragraph" w:styleId="Descripcin">
    <w:name w:val="caption"/>
    <w:basedOn w:val="Normal"/>
    <w:next w:val="Normal"/>
    <w:uiPriority w:val="35"/>
    <w:unhideWhenUsed/>
    <w:qFormat/>
    <w:rsid w:val="00CA1C23"/>
    <w:pPr>
      <w:spacing w:after="200"/>
    </w:pPr>
    <w:rPr>
      <w:i/>
      <w:iCs/>
      <w:color w:val="44546A" w:themeColor="text2"/>
      <w:sz w:val="18"/>
      <w:szCs w:val="18"/>
    </w:rPr>
  </w:style>
  <w:style w:type="paragraph" w:styleId="TtuloTDC">
    <w:name w:val="TOC Heading"/>
    <w:basedOn w:val="Ttulo1"/>
    <w:next w:val="Normal"/>
    <w:uiPriority w:val="39"/>
    <w:unhideWhenUsed/>
    <w:qFormat/>
    <w:rsid w:val="00CA1C23"/>
    <w:pPr>
      <w:spacing w:line="259" w:lineRule="auto"/>
      <w:outlineLvl w:val="9"/>
    </w:pPr>
  </w:style>
  <w:style w:type="character" w:styleId="Hipervnculo">
    <w:name w:val="Hyperlink"/>
    <w:rsid w:val="00BE422E"/>
    <w:rPr>
      <w:color w:val="0000FF"/>
      <w:u w:val="single"/>
    </w:rPr>
  </w:style>
  <w:style w:type="paragraph" w:customStyle="1" w:styleId="TextFirstParagraph">
    <w:name w:val="Text_First_Paragraph"/>
    <w:basedOn w:val="Normal"/>
    <w:link w:val="TextFirstParagraphChar"/>
    <w:rsid w:val="00BE422E"/>
    <w:pPr>
      <w:jc w:val="both"/>
    </w:pPr>
    <w:rPr>
      <w:rFonts w:eastAsia="Times New Roman"/>
      <w:sz w:val="22"/>
      <w:lang w:eastAsia="it-IT"/>
    </w:rPr>
  </w:style>
  <w:style w:type="character" w:customStyle="1" w:styleId="TextFirstParagraphChar">
    <w:name w:val="Text_First_Paragraph Char"/>
    <w:link w:val="TextFirstParagraph"/>
    <w:rsid w:val="00BE422E"/>
    <w:rPr>
      <w:rFonts w:ascii="Times New Roman" w:eastAsia="Times New Roman" w:hAnsi="Times New Roman" w:cs="Times New Roman"/>
      <w:szCs w:val="24"/>
      <w:lang w:val="en-GB" w:eastAsia="it-IT"/>
    </w:rPr>
  </w:style>
  <w:style w:type="character" w:styleId="Refdecomentario">
    <w:name w:val="annotation reference"/>
    <w:rsid w:val="00BE422E"/>
    <w:rPr>
      <w:sz w:val="16"/>
      <w:szCs w:val="16"/>
    </w:rPr>
  </w:style>
  <w:style w:type="paragraph" w:styleId="Textocomentario">
    <w:name w:val="annotation text"/>
    <w:basedOn w:val="Normal"/>
    <w:link w:val="TextocomentarioCar"/>
    <w:rsid w:val="00BE422E"/>
    <w:rPr>
      <w:sz w:val="20"/>
      <w:szCs w:val="20"/>
    </w:rPr>
  </w:style>
  <w:style w:type="character" w:customStyle="1" w:styleId="TextocomentarioCar">
    <w:name w:val="Texto comentario Car"/>
    <w:basedOn w:val="Fuentedeprrafopredeter"/>
    <w:link w:val="Textocomentario"/>
    <w:rsid w:val="00BE422E"/>
    <w:rPr>
      <w:rFonts w:ascii="Times New Roman" w:eastAsia="MS Mincho" w:hAnsi="Times New Roman" w:cs="Times New Roman"/>
      <w:sz w:val="20"/>
      <w:szCs w:val="20"/>
      <w:lang w:val="en-GB" w:eastAsia="ja-JP"/>
    </w:rPr>
  </w:style>
  <w:style w:type="paragraph" w:styleId="Asuntodelcomentario">
    <w:name w:val="annotation subject"/>
    <w:basedOn w:val="Textocomentario"/>
    <w:next w:val="Textocomentario"/>
    <w:link w:val="AsuntodelcomentarioCar"/>
    <w:rsid w:val="00BE422E"/>
    <w:rPr>
      <w:b/>
      <w:bCs/>
    </w:rPr>
  </w:style>
  <w:style w:type="character" w:customStyle="1" w:styleId="AsuntodelcomentarioCar">
    <w:name w:val="Asunto del comentario Car"/>
    <w:basedOn w:val="TextocomentarioCar"/>
    <w:link w:val="Asuntodelcomentario"/>
    <w:rsid w:val="00BE422E"/>
    <w:rPr>
      <w:rFonts w:ascii="Times New Roman" w:eastAsia="MS Mincho" w:hAnsi="Times New Roman" w:cs="Times New Roman"/>
      <w:b/>
      <w:bCs/>
      <w:sz w:val="20"/>
      <w:szCs w:val="20"/>
      <w:lang w:val="en-GB" w:eastAsia="ja-JP"/>
    </w:rPr>
  </w:style>
  <w:style w:type="paragraph" w:styleId="Textodeglobo">
    <w:name w:val="Balloon Text"/>
    <w:basedOn w:val="Normal"/>
    <w:link w:val="TextodegloboCar"/>
    <w:rsid w:val="00BE422E"/>
    <w:rPr>
      <w:rFonts w:ascii="Tahoma" w:hAnsi="Tahoma" w:cs="Tahoma"/>
      <w:sz w:val="16"/>
      <w:szCs w:val="16"/>
    </w:rPr>
  </w:style>
  <w:style w:type="character" w:customStyle="1" w:styleId="TextodegloboCar">
    <w:name w:val="Texto de globo Car"/>
    <w:basedOn w:val="Fuentedeprrafopredeter"/>
    <w:link w:val="Textodeglobo"/>
    <w:rsid w:val="00BE422E"/>
    <w:rPr>
      <w:rFonts w:ascii="Tahoma" w:eastAsia="MS Mincho" w:hAnsi="Tahoma" w:cs="Tahoma"/>
      <w:sz w:val="16"/>
      <w:szCs w:val="16"/>
      <w:lang w:val="en-GB" w:eastAsia="ja-JP"/>
    </w:rPr>
  </w:style>
  <w:style w:type="paragraph" w:styleId="Textonotaalfinal">
    <w:name w:val="endnote text"/>
    <w:basedOn w:val="Normal"/>
    <w:link w:val="TextonotaalfinalCar"/>
    <w:rsid w:val="00BE422E"/>
    <w:rPr>
      <w:sz w:val="20"/>
      <w:szCs w:val="20"/>
    </w:rPr>
  </w:style>
  <w:style w:type="character" w:customStyle="1" w:styleId="TextonotaalfinalCar">
    <w:name w:val="Texto nota al final Car"/>
    <w:basedOn w:val="Fuentedeprrafopredeter"/>
    <w:link w:val="Textonotaalfinal"/>
    <w:rsid w:val="00BE422E"/>
    <w:rPr>
      <w:rFonts w:ascii="Times New Roman" w:eastAsia="MS Mincho" w:hAnsi="Times New Roman" w:cs="Times New Roman"/>
      <w:sz w:val="20"/>
      <w:szCs w:val="20"/>
      <w:lang w:val="en-GB" w:eastAsia="ja-JP"/>
    </w:rPr>
  </w:style>
  <w:style w:type="character" w:styleId="Refdenotaalfinal">
    <w:name w:val="endnote reference"/>
    <w:rsid w:val="00BE422E"/>
    <w:rPr>
      <w:vertAlign w:val="superscript"/>
    </w:rPr>
  </w:style>
  <w:style w:type="character" w:customStyle="1" w:styleId="hit">
    <w:name w:val="hit"/>
    <w:rsid w:val="00BE422E"/>
  </w:style>
  <w:style w:type="paragraph" w:customStyle="1" w:styleId="EndNoteBibliographyTitle">
    <w:name w:val="EndNote Bibliography Title"/>
    <w:basedOn w:val="Normal"/>
    <w:link w:val="EndNoteBibliographyTitleCar"/>
    <w:rsid w:val="00BE422E"/>
    <w:pPr>
      <w:jc w:val="center"/>
    </w:pPr>
    <w:rPr>
      <w:noProof/>
    </w:rPr>
  </w:style>
  <w:style w:type="character" w:customStyle="1" w:styleId="EndNoteBibliographyTitleCar">
    <w:name w:val="EndNote Bibliography Title Car"/>
    <w:link w:val="EndNoteBibliographyTitle"/>
    <w:rsid w:val="00BE422E"/>
    <w:rPr>
      <w:rFonts w:ascii="Times New Roman" w:eastAsia="MS Mincho" w:hAnsi="Times New Roman" w:cs="Times New Roman"/>
      <w:noProof/>
      <w:sz w:val="24"/>
      <w:szCs w:val="24"/>
      <w:lang w:val="en-GB" w:eastAsia="ja-JP"/>
    </w:rPr>
  </w:style>
  <w:style w:type="paragraph" w:customStyle="1" w:styleId="EndNoteBibliography">
    <w:name w:val="EndNote Bibliography"/>
    <w:basedOn w:val="Normal"/>
    <w:link w:val="EndNoteBibliographyCar"/>
    <w:rsid w:val="00BE422E"/>
    <w:pPr>
      <w:jc w:val="both"/>
    </w:pPr>
    <w:rPr>
      <w:noProof/>
    </w:rPr>
  </w:style>
  <w:style w:type="character" w:customStyle="1" w:styleId="EndNoteBibliographyCar">
    <w:name w:val="EndNote Bibliography Car"/>
    <w:link w:val="EndNoteBibliography"/>
    <w:rsid w:val="00BE422E"/>
    <w:rPr>
      <w:rFonts w:ascii="Times New Roman" w:eastAsia="MS Mincho" w:hAnsi="Times New Roman" w:cs="Times New Roman"/>
      <w:noProof/>
      <w:sz w:val="24"/>
      <w:szCs w:val="24"/>
      <w:lang w:val="en-GB" w:eastAsia="ja-JP"/>
    </w:rPr>
  </w:style>
  <w:style w:type="paragraph" w:styleId="Encabezado">
    <w:name w:val="header"/>
    <w:basedOn w:val="Normal"/>
    <w:link w:val="EncabezadoCar"/>
    <w:rsid w:val="00BE422E"/>
    <w:pPr>
      <w:tabs>
        <w:tab w:val="center" w:pos="4252"/>
        <w:tab w:val="right" w:pos="8504"/>
      </w:tabs>
    </w:pPr>
  </w:style>
  <w:style w:type="character" w:customStyle="1" w:styleId="EncabezadoCar">
    <w:name w:val="Encabezado Car"/>
    <w:link w:val="Encabezado"/>
    <w:rsid w:val="00BE422E"/>
    <w:rPr>
      <w:rFonts w:ascii="Times New Roman" w:eastAsia="MS Mincho" w:hAnsi="Times New Roman" w:cs="Times New Roman"/>
      <w:sz w:val="24"/>
      <w:szCs w:val="24"/>
      <w:lang w:val="en-GB" w:eastAsia="ja-JP"/>
    </w:rPr>
  </w:style>
  <w:style w:type="paragraph" w:styleId="Piedepgina">
    <w:name w:val="footer"/>
    <w:basedOn w:val="Normal"/>
    <w:link w:val="PiedepginaCar"/>
    <w:uiPriority w:val="99"/>
    <w:rsid w:val="00BE422E"/>
    <w:pPr>
      <w:tabs>
        <w:tab w:val="center" w:pos="4252"/>
        <w:tab w:val="right" w:pos="8504"/>
      </w:tabs>
    </w:pPr>
  </w:style>
  <w:style w:type="character" w:customStyle="1" w:styleId="PiedepginaCar">
    <w:name w:val="Pie de página Car"/>
    <w:link w:val="Piedepgina"/>
    <w:uiPriority w:val="99"/>
    <w:rsid w:val="00BE422E"/>
    <w:rPr>
      <w:rFonts w:ascii="Times New Roman" w:eastAsia="MS Mincho" w:hAnsi="Times New Roman" w:cs="Times New Roman"/>
      <w:sz w:val="24"/>
      <w:szCs w:val="24"/>
      <w:lang w:val="en-GB" w:eastAsia="ja-JP"/>
    </w:rPr>
  </w:style>
  <w:style w:type="table" w:styleId="Tablabsica1">
    <w:name w:val="Table Simple 1"/>
    <w:basedOn w:val="Tablanormal"/>
    <w:rsid w:val="00BE422E"/>
    <w:pPr>
      <w:spacing w:after="0" w:line="240" w:lineRule="auto"/>
    </w:pPr>
    <w:rPr>
      <w:rFonts w:ascii="Times New Roman" w:eastAsia="Times New Roman" w:hAnsi="Times New Roman" w:cs="Times New Roman"/>
      <w:sz w:val="20"/>
      <w:szCs w:val="20"/>
      <w:lang w:eastAsia="es-E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FigureCaption">
    <w:name w:val="Figure_Caption"/>
    <w:rsid w:val="00BE422E"/>
    <w:pPr>
      <w:spacing w:after="0" w:line="240" w:lineRule="auto"/>
      <w:jc w:val="both"/>
    </w:pPr>
    <w:rPr>
      <w:rFonts w:ascii="Arial" w:eastAsia="Times New Roman" w:hAnsi="Arial" w:cs="Arial"/>
      <w:bCs/>
      <w:kern w:val="32"/>
      <w:sz w:val="20"/>
      <w:szCs w:val="32"/>
      <w:lang w:val="it-IT" w:eastAsia="it-IT"/>
    </w:rPr>
  </w:style>
  <w:style w:type="character" w:customStyle="1" w:styleId="lrzxr">
    <w:name w:val="lrzxr"/>
    <w:rsid w:val="00BE422E"/>
  </w:style>
  <w:style w:type="paragraph" w:styleId="NormalWeb">
    <w:name w:val="Normal (Web)"/>
    <w:basedOn w:val="Normal"/>
    <w:uiPriority w:val="99"/>
    <w:unhideWhenUsed/>
    <w:rsid w:val="00433D6D"/>
    <w:pPr>
      <w:spacing w:before="100" w:beforeAutospacing="1" w:after="100" w:afterAutospacing="1"/>
    </w:pPr>
    <w:rPr>
      <w:rFonts w:eastAsia="Times New Roman"/>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6687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emf"/><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emf"/><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image" Target="media/image17.png"/><Relationship Id="rId28"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wmf"/><Relationship Id="rId22" Type="http://schemas.openxmlformats.org/officeDocument/2006/relationships/image" Target="media/image16.png"/><Relationship Id="rId27"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D42B54-4585-44AD-AE83-D96E3FAC34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19</Pages>
  <Words>5334</Words>
  <Characters>29343</Characters>
  <Application>Microsoft Office Word</Application>
  <DocSecurity>0</DocSecurity>
  <Lines>244</Lines>
  <Paragraphs>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Suarez Gil, Silvia</dc:creator>
  <cp:lastModifiedBy>Suarez Gil, Silvia</cp:lastModifiedBy>
  <cp:revision>13</cp:revision>
  <dcterms:created xsi:type="dcterms:W3CDTF">2020-04-07T09:21:00Z</dcterms:created>
  <dcterms:modified xsi:type="dcterms:W3CDTF">2024-02-06T16:04:00Z</dcterms:modified>
</cp:coreProperties>
</file>