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C7498" w14:textId="77777777" w:rsidR="00B87BBA" w:rsidRPr="00B87BBA" w:rsidRDefault="00B87BBA" w:rsidP="00B87BBA">
      <w:pPr>
        <w:ind w:left="708" w:hanging="708"/>
        <w:jc w:val="center"/>
        <w:rPr>
          <w:rFonts w:ascii="Arial" w:hAnsi="Arial" w:cs="Arial"/>
          <w:b/>
          <w:bCs/>
          <w:sz w:val="28"/>
          <w:szCs w:val="28"/>
          <w:lang w:val="en-US"/>
        </w:rPr>
      </w:pPr>
      <w:bookmarkStart w:id="0" w:name="_Hlk222394613"/>
      <w:bookmarkEnd w:id="0"/>
      <w:r w:rsidRPr="00B87BBA">
        <w:rPr>
          <w:rFonts w:ascii="Arial" w:hAnsi="Arial" w:cs="Arial"/>
          <w:b/>
          <w:bCs/>
          <w:sz w:val="28"/>
          <w:szCs w:val="28"/>
          <w:lang w:val="en-US"/>
        </w:rPr>
        <w:t>A 15-year atmospheric record of intentionally produced persistent organic pollutants in Spain: Spatial gradients, thermodynamic fractionation, and temporal trends.</w:t>
      </w:r>
    </w:p>
    <w:p w14:paraId="79B3121C" w14:textId="64DC16A9" w:rsidR="008E4D33" w:rsidRPr="00F128B8" w:rsidRDefault="008E4D33" w:rsidP="008E4D33">
      <w:pPr>
        <w:jc w:val="center"/>
        <w:rPr>
          <w:rFonts w:ascii="Arial" w:hAnsi="Arial" w:cs="Arial"/>
          <w:sz w:val="20"/>
          <w:szCs w:val="20"/>
        </w:rPr>
      </w:pPr>
      <w:bookmarkStart w:id="1" w:name="_Hlk203487345"/>
      <w:r w:rsidRPr="00F128B8">
        <w:rPr>
          <w:rFonts w:ascii="Arial" w:hAnsi="Arial" w:cs="Arial"/>
          <w:sz w:val="20"/>
          <w:szCs w:val="20"/>
        </w:rPr>
        <w:t>Adrián de la Torre</w:t>
      </w:r>
      <w:r w:rsidRPr="00F128B8">
        <w:rPr>
          <w:rFonts w:ascii="Arial" w:hAnsi="Arial" w:cs="Arial"/>
          <w:sz w:val="20"/>
          <w:szCs w:val="20"/>
          <w:vertAlign w:val="superscript"/>
        </w:rPr>
        <w:t>1</w:t>
      </w:r>
      <w:r w:rsidRPr="00F128B8">
        <w:rPr>
          <w:rFonts w:ascii="Arial" w:hAnsi="Arial" w:cs="Arial"/>
          <w:sz w:val="20"/>
          <w:szCs w:val="20"/>
        </w:rPr>
        <w:t xml:space="preserve">, </w:t>
      </w:r>
      <w:r w:rsidR="00854B54">
        <w:rPr>
          <w:rFonts w:ascii="Arial" w:hAnsi="Arial" w:cs="Arial"/>
          <w:sz w:val="20"/>
          <w:szCs w:val="20"/>
        </w:rPr>
        <w:t>Juan Muñoz-Arnanz</w:t>
      </w:r>
      <w:r w:rsidRPr="00F128B8">
        <w:rPr>
          <w:rFonts w:ascii="Arial" w:hAnsi="Arial" w:cs="Arial"/>
          <w:sz w:val="20"/>
          <w:szCs w:val="20"/>
          <w:vertAlign w:val="superscript"/>
        </w:rPr>
        <w:t>2</w:t>
      </w:r>
      <w:r w:rsidRPr="00F128B8">
        <w:rPr>
          <w:rFonts w:ascii="Arial" w:hAnsi="Arial" w:cs="Arial"/>
          <w:sz w:val="20"/>
          <w:szCs w:val="20"/>
        </w:rPr>
        <w:t>, Irene Navarro</w:t>
      </w:r>
      <w:r w:rsidRPr="00F128B8">
        <w:rPr>
          <w:rFonts w:ascii="Arial" w:hAnsi="Arial" w:cs="Arial"/>
          <w:sz w:val="20"/>
          <w:szCs w:val="20"/>
          <w:vertAlign w:val="superscript"/>
        </w:rPr>
        <w:t>1</w:t>
      </w:r>
      <w:r w:rsidRPr="00F128B8">
        <w:rPr>
          <w:rFonts w:ascii="Arial" w:hAnsi="Arial" w:cs="Arial"/>
          <w:sz w:val="20"/>
          <w:szCs w:val="20"/>
        </w:rPr>
        <w:t xml:space="preserve">, </w:t>
      </w:r>
      <w:r w:rsidR="00854B54">
        <w:rPr>
          <w:rFonts w:ascii="Arial" w:hAnsi="Arial" w:cs="Arial"/>
          <w:sz w:val="20"/>
          <w:szCs w:val="20"/>
        </w:rPr>
        <w:t>Pere Colomer-Vidal</w:t>
      </w:r>
      <w:r w:rsidRPr="00F128B8">
        <w:rPr>
          <w:rFonts w:ascii="Arial" w:hAnsi="Arial" w:cs="Arial"/>
          <w:sz w:val="20"/>
          <w:szCs w:val="20"/>
          <w:vertAlign w:val="superscript"/>
        </w:rPr>
        <w:t>2</w:t>
      </w:r>
      <w:r w:rsidRPr="00F128B8">
        <w:rPr>
          <w:rFonts w:ascii="Arial" w:hAnsi="Arial" w:cs="Arial"/>
          <w:sz w:val="20"/>
          <w:szCs w:val="20"/>
        </w:rPr>
        <w:t>, Covadonga Alonso</w:t>
      </w:r>
      <w:r w:rsidRPr="00F128B8">
        <w:rPr>
          <w:rFonts w:ascii="Arial" w:hAnsi="Arial" w:cs="Arial"/>
          <w:sz w:val="20"/>
          <w:szCs w:val="20"/>
          <w:vertAlign w:val="superscript"/>
        </w:rPr>
        <w:t>1</w:t>
      </w:r>
      <w:r w:rsidRPr="00F128B8">
        <w:rPr>
          <w:rFonts w:ascii="Arial" w:hAnsi="Arial" w:cs="Arial"/>
          <w:sz w:val="20"/>
          <w:szCs w:val="20"/>
        </w:rPr>
        <w:t xml:space="preserve">, </w:t>
      </w:r>
      <w:r w:rsidR="00695023">
        <w:rPr>
          <w:rFonts w:ascii="Arial" w:hAnsi="Arial" w:cs="Arial"/>
          <w:sz w:val="20"/>
          <w:szCs w:val="20"/>
        </w:rPr>
        <w:t>José</w:t>
      </w:r>
      <w:r w:rsidR="00854B54">
        <w:rPr>
          <w:rFonts w:ascii="Arial" w:hAnsi="Arial" w:cs="Arial"/>
          <w:sz w:val="20"/>
          <w:szCs w:val="20"/>
        </w:rPr>
        <w:t xml:space="preserve"> L. Roscales</w:t>
      </w:r>
      <w:r w:rsidRPr="00F128B8">
        <w:rPr>
          <w:rFonts w:ascii="Arial" w:hAnsi="Arial" w:cs="Arial"/>
          <w:sz w:val="20"/>
          <w:szCs w:val="20"/>
          <w:vertAlign w:val="superscript"/>
        </w:rPr>
        <w:t>2</w:t>
      </w:r>
      <w:r w:rsidRPr="00F128B8">
        <w:rPr>
          <w:rFonts w:ascii="Arial" w:hAnsi="Arial" w:cs="Arial"/>
          <w:sz w:val="20"/>
          <w:szCs w:val="20"/>
        </w:rPr>
        <w:t>, Ángeles Jiménez</w:t>
      </w:r>
      <w:r w:rsidRPr="00F128B8">
        <w:rPr>
          <w:rFonts w:ascii="Arial" w:hAnsi="Arial" w:cs="Arial"/>
          <w:sz w:val="20"/>
          <w:szCs w:val="20"/>
          <w:vertAlign w:val="superscript"/>
        </w:rPr>
        <w:t>3</w:t>
      </w:r>
      <w:r w:rsidRPr="00F128B8">
        <w:rPr>
          <w:rFonts w:ascii="Arial" w:hAnsi="Arial" w:cs="Arial"/>
          <w:sz w:val="20"/>
          <w:szCs w:val="20"/>
        </w:rPr>
        <w:t xml:space="preserve">, </w:t>
      </w:r>
      <w:r w:rsidR="00C239EA">
        <w:rPr>
          <w:rFonts w:ascii="Arial" w:hAnsi="Arial" w:cs="Arial"/>
          <w:sz w:val="20"/>
          <w:szCs w:val="20"/>
        </w:rPr>
        <w:t>Ana García</w:t>
      </w:r>
      <w:r w:rsidR="00C239EA" w:rsidRPr="00F128B8">
        <w:rPr>
          <w:rFonts w:ascii="Arial" w:hAnsi="Arial" w:cs="Arial"/>
          <w:sz w:val="20"/>
          <w:szCs w:val="20"/>
          <w:vertAlign w:val="superscript"/>
        </w:rPr>
        <w:t>3</w:t>
      </w:r>
      <w:r w:rsidR="00C239EA" w:rsidRPr="00F128B8">
        <w:rPr>
          <w:rFonts w:ascii="Arial" w:hAnsi="Arial" w:cs="Arial"/>
          <w:sz w:val="20"/>
          <w:szCs w:val="20"/>
        </w:rPr>
        <w:t xml:space="preserve">, </w:t>
      </w:r>
      <w:r w:rsidRPr="00F128B8">
        <w:rPr>
          <w:rFonts w:ascii="Arial" w:hAnsi="Arial" w:cs="Arial"/>
          <w:sz w:val="20"/>
          <w:szCs w:val="20"/>
        </w:rPr>
        <w:t>Begoña Jiménez</w:t>
      </w:r>
      <w:r w:rsidRPr="00F128B8">
        <w:rPr>
          <w:rFonts w:ascii="Arial" w:hAnsi="Arial" w:cs="Arial"/>
          <w:sz w:val="20"/>
          <w:szCs w:val="20"/>
          <w:vertAlign w:val="superscript"/>
        </w:rPr>
        <w:t>2</w:t>
      </w:r>
      <w:r w:rsidRPr="00F128B8">
        <w:rPr>
          <w:rFonts w:ascii="Arial" w:hAnsi="Arial" w:cs="Arial"/>
          <w:sz w:val="20"/>
          <w:szCs w:val="20"/>
        </w:rPr>
        <w:t>*, María Ángeles Martínez</w:t>
      </w:r>
      <w:r w:rsidRPr="00F128B8">
        <w:rPr>
          <w:rFonts w:ascii="Arial" w:hAnsi="Arial" w:cs="Arial"/>
          <w:sz w:val="20"/>
          <w:szCs w:val="20"/>
          <w:vertAlign w:val="superscript"/>
        </w:rPr>
        <w:t>1</w:t>
      </w:r>
      <w:r w:rsidRPr="00F128B8">
        <w:rPr>
          <w:rFonts w:ascii="Arial" w:hAnsi="Arial" w:cs="Arial"/>
          <w:sz w:val="20"/>
          <w:szCs w:val="20"/>
        </w:rPr>
        <w:t>*</w:t>
      </w:r>
    </w:p>
    <w:bookmarkEnd w:id="1"/>
    <w:p w14:paraId="34D1C32B" w14:textId="47DE4696" w:rsidR="00B87BBA" w:rsidRPr="00B87BBA" w:rsidRDefault="00B87BBA" w:rsidP="00B87BBA">
      <w:pPr>
        <w:ind w:left="142" w:hanging="142"/>
        <w:jc w:val="both"/>
        <w:rPr>
          <w:rFonts w:ascii="Arial" w:hAnsi="Arial" w:cs="Arial"/>
          <w:sz w:val="20"/>
          <w:szCs w:val="20"/>
          <w:lang w:val="en-US"/>
        </w:rPr>
      </w:pPr>
      <w:r w:rsidRPr="00B87BBA">
        <w:rPr>
          <w:rFonts w:ascii="Arial" w:hAnsi="Arial" w:cs="Arial"/>
          <w:sz w:val="20"/>
          <w:szCs w:val="20"/>
          <w:vertAlign w:val="superscript"/>
          <w:lang w:val="en-US"/>
        </w:rPr>
        <w:t>1</w:t>
      </w:r>
      <w:r w:rsidRPr="00B87BBA">
        <w:rPr>
          <w:rFonts w:ascii="Arial" w:hAnsi="Arial" w:cs="Arial"/>
          <w:sz w:val="20"/>
          <w:szCs w:val="20"/>
          <w:lang w:val="en-US"/>
        </w:rPr>
        <w:t>Unit of POPs and Emerging Pollutants in Environment, Department of Environment, CIEMAT, Av. Complutense</w:t>
      </w:r>
      <w:r w:rsidR="006C3488">
        <w:rPr>
          <w:rFonts w:ascii="Arial" w:hAnsi="Arial" w:cs="Arial"/>
          <w:sz w:val="20"/>
          <w:szCs w:val="20"/>
          <w:lang w:val="en-US"/>
        </w:rPr>
        <w:t>,</w:t>
      </w:r>
      <w:r w:rsidRPr="00B87BBA">
        <w:rPr>
          <w:rFonts w:ascii="Arial" w:hAnsi="Arial" w:cs="Arial"/>
          <w:sz w:val="20"/>
          <w:szCs w:val="20"/>
          <w:lang w:val="en-US"/>
        </w:rPr>
        <w:t xml:space="preserve"> 40, 28040 Madrid, Spain.</w:t>
      </w:r>
    </w:p>
    <w:p w14:paraId="0FD1AD3F" w14:textId="005B4121" w:rsidR="007846D6" w:rsidRDefault="00473F21" w:rsidP="00B87BBA">
      <w:pPr>
        <w:ind w:left="142" w:hanging="142"/>
        <w:jc w:val="both"/>
        <w:rPr>
          <w:rFonts w:ascii="Arial" w:hAnsi="Arial" w:cs="Arial"/>
          <w:bCs/>
          <w:sz w:val="20"/>
          <w:szCs w:val="20"/>
          <w:lang w:val="en-US"/>
        </w:rPr>
      </w:pPr>
      <w:r>
        <w:rPr>
          <w:rFonts w:ascii="Arial" w:hAnsi="Arial" w:cs="Arial"/>
          <w:sz w:val="20"/>
          <w:szCs w:val="20"/>
          <w:vertAlign w:val="superscript"/>
          <w:lang w:val="en-US"/>
        </w:rPr>
        <w:t>2</w:t>
      </w:r>
      <w:r w:rsidR="00B87BBA" w:rsidRPr="00B87BBA">
        <w:rPr>
          <w:rFonts w:ascii="Arial" w:hAnsi="Arial" w:cs="Arial"/>
          <w:sz w:val="20"/>
          <w:szCs w:val="20"/>
          <w:lang w:val="en-US"/>
        </w:rPr>
        <w:t xml:space="preserve">Department of Instrumental Analysis and Environmental </w:t>
      </w:r>
      <w:r w:rsidR="00B87BBA" w:rsidRPr="00B87BBA">
        <w:rPr>
          <w:rFonts w:ascii="Arial" w:hAnsi="Arial" w:cs="Arial"/>
          <w:bCs/>
          <w:sz w:val="20"/>
          <w:szCs w:val="20"/>
          <w:lang w:val="en-US"/>
        </w:rPr>
        <w:t>Chemistry, Institute of Organic Chemistry</w:t>
      </w:r>
      <w:r w:rsidR="00B83E0C">
        <w:rPr>
          <w:rFonts w:ascii="Arial" w:hAnsi="Arial" w:cs="Arial"/>
          <w:bCs/>
          <w:sz w:val="20"/>
          <w:szCs w:val="20"/>
          <w:lang w:val="en-US"/>
        </w:rPr>
        <w:t xml:space="preserve">, IQOG-CSIC, </w:t>
      </w:r>
      <w:r w:rsidR="00B83E0C" w:rsidRPr="00B83E0C">
        <w:rPr>
          <w:rFonts w:ascii="Arial" w:hAnsi="Arial" w:cs="Arial"/>
          <w:bCs/>
          <w:sz w:val="20"/>
          <w:szCs w:val="20"/>
          <w:lang w:val="en-US"/>
        </w:rPr>
        <w:t xml:space="preserve">Calle Juan de la </w:t>
      </w:r>
      <w:proofErr w:type="spellStart"/>
      <w:r w:rsidR="00B83E0C" w:rsidRPr="00B83E0C">
        <w:rPr>
          <w:rFonts w:ascii="Arial" w:hAnsi="Arial" w:cs="Arial"/>
          <w:bCs/>
          <w:sz w:val="20"/>
          <w:szCs w:val="20"/>
          <w:lang w:val="en-US"/>
        </w:rPr>
        <w:t>Cierva</w:t>
      </w:r>
      <w:proofErr w:type="spellEnd"/>
      <w:r w:rsidR="006C3488">
        <w:rPr>
          <w:rFonts w:ascii="Arial" w:hAnsi="Arial" w:cs="Arial"/>
          <w:bCs/>
          <w:sz w:val="20"/>
          <w:szCs w:val="20"/>
          <w:lang w:val="en-US"/>
        </w:rPr>
        <w:t>,</w:t>
      </w:r>
      <w:r w:rsidR="00B83E0C" w:rsidRPr="00B83E0C">
        <w:rPr>
          <w:rFonts w:ascii="Arial" w:hAnsi="Arial" w:cs="Arial"/>
          <w:bCs/>
          <w:sz w:val="20"/>
          <w:szCs w:val="20"/>
          <w:lang w:val="en-US"/>
        </w:rPr>
        <w:t xml:space="preserve"> 3, 28006, Madrid, Spain</w:t>
      </w:r>
      <w:r w:rsidR="00B87BBA" w:rsidRPr="00B87BBA">
        <w:rPr>
          <w:rFonts w:ascii="Arial" w:hAnsi="Arial" w:cs="Arial"/>
          <w:bCs/>
          <w:sz w:val="20"/>
          <w:szCs w:val="20"/>
          <w:lang w:val="en-US"/>
        </w:rPr>
        <w:t>.</w:t>
      </w:r>
    </w:p>
    <w:p w14:paraId="47C75FA1" w14:textId="43E7812B" w:rsidR="008E4D33" w:rsidRPr="008E4D33" w:rsidRDefault="008E4D33" w:rsidP="008E4D33">
      <w:pPr>
        <w:ind w:left="142" w:hanging="142"/>
        <w:jc w:val="both"/>
        <w:rPr>
          <w:rFonts w:ascii="Arial" w:hAnsi="Arial" w:cs="Arial"/>
          <w:sz w:val="20"/>
          <w:szCs w:val="20"/>
          <w:lang w:val="en-US"/>
        </w:rPr>
      </w:pPr>
      <w:r w:rsidRPr="00F128B8">
        <w:rPr>
          <w:rFonts w:ascii="Arial" w:hAnsi="Arial" w:cs="Arial"/>
          <w:sz w:val="20"/>
          <w:szCs w:val="20"/>
          <w:vertAlign w:val="superscript"/>
          <w:lang w:val="en-US"/>
        </w:rPr>
        <w:t>3</w:t>
      </w:r>
      <w:r w:rsidRPr="008E4D33">
        <w:rPr>
          <w:rFonts w:ascii="Arial" w:hAnsi="Arial" w:cs="Arial"/>
          <w:sz w:val="20"/>
          <w:szCs w:val="20"/>
          <w:lang w:val="en-US"/>
        </w:rPr>
        <w:t>Subdirectorate General for Pollution Prevention, Ministry for the Ecological Transition and the Demographic Challenge (MITECO)</w:t>
      </w:r>
      <w:r>
        <w:rPr>
          <w:rFonts w:ascii="Arial" w:hAnsi="Arial" w:cs="Arial"/>
          <w:sz w:val="20"/>
          <w:szCs w:val="20"/>
          <w:lang w:val="en-US"/>
        </w:rPr>
        <w:t>.</w:t>
      </w:r>
    </w:p>
    <w:p w14:paraId="7B555009" w14:textId="60F220F7" w:rsidR="008E4D33" w:rsidRPr="00B87BBA" w:rsidRDefault="008E4D33" w:rsidP="008E4D33">
      <w:pPr>
        <w:ind w:left="142" w:hanging="142"/>
        <w:jc w:val="both"/>
        <w:rPr>
          <w:rFonts w:ascii="Arial" w:hAnsi="Arial" w:cs="Arial"/>
          <w:sz w:val="20"/>
          <w:szCs w:val="20"/>
          <w:highlight w:val="yellow"/>
          <w:lang w:val="en-US"/>
        </w:rPr>
      </w:pPr>
      <w:r w:rsidRPr="008E4D33">
        <w:rPr>
          <w:rFonts w:ascii="Arial" w:hAnsi="Arial" w:cs="Arial"/>
          <w:sz w:val="20"/>
          <w:szCs w:val="20"/>
          <w:lang w:val="en-US"/>
        </w:rPr>
        <w:t>*These authors share last authorship</w:t>
      </w:r>
    </w:p>
    <w:p w14:paraId="3C4598F9" w14:textId="05948817" w:rsidR="007846D6" w:rsidRDefault="007846D6" w:rsidP="00C60086">
      <w:pPr>
        <w:rPr>
          <w:rFonts w:ascii="Arial" w:hAnsi="Arial" w:cs="Arial"/>
          <w:highlight w:val="yellow"/>
          <w:lang w:val="en-US"/>
        </w:rPr>
      </w:pPr>
    </w:p>
    <w:p w14:paraId="2E359B78" w14:textId="77777777" w:rsidR="004A129C" w:rsidRPr="00B87BBA" w:rsidRDefault="004A129C" w:rsidP="00C60086">
      <w:pPr>
        <w:rPr>
          <w:rFonts w:ascii="Arial" w:hAnsi="Arial" w:cs="Arial"/>
          <w:highlight w:val="yellow"/>
          <w:lang w:val="en-US"/>
        </w:rPr>
      </w:pPr>
    </w:p>
    <w:p w14:paraId="05FCD85A" w14:textId="4B94A1AA" w:rsidR="00890481" w:rsidRDefault="00890481" w:rsidP="00C60086">
      <w:pPr>
        <w:rPr>
          <w:rFonts w:ascii="Arial" w:hAnsi="Arial" w:cs="Arial"/>
          <w:b/>
          <w:bCs/>
          <w:color w:val="2F5496" w:themeColor="accent1" w:themeShade="BF"/>
          <w:sz w:val="32"/>
          <w:szCs w:val="32"/>
          <w:lang w:val="en-AE"/>
        </w:rPr>
      </w:pPr>
      <w:r w:rsidRPr="00F128B8">
        <w:rPr>
          <w:rFonts w:ascii="Arial" w:hAnsi="Arial" w:cs="Arial"/>
          <w:b/>
          <w:bCs/>
          <w:color w:val="2F5496" w:themeColor="accent1" w:themeShade="BF"/>
          <w:sz w:val="32"/>
          <w:szCs w:val="32"/>
          <w:lang w:val="en-AE"/>
        </w:rPr>
        <w:t>Table of Content</w:t>
      </w:r>
      <w:r w:rsidR="00473F21" w:rsidRPr="00F128B8">
        <w:rPr>
          <w:rFonts w:ascii="Arial" w:hAnsi="Arial" w:cs="Arial"/>
          <w:b/>
          <w:bCs/>
          <w:color w:val="2F5496" w:themeColor="accent1" w:themeShade="BF"/>
          <w:sz w:val="32"/>
          <w:szCs w:val="32"/>
          <w:lang w:val="en-AE"/>
        </w:rPr>
        <w:t>s</w:t>
      </w:r>
    </w:p>
    <w:tbl>
      <w:tblPr>
        <w:tblStyle w:val="Tablaconcuadrculaclara"/>
        <w:tblW w:w="9634" w:type="dxa"/>
        <w:tblLook w:val="0600" w:firstRow="0" w:lastRow="0" w:firstColumn="0" w:lastColumn="0" w:noHBand="1" w:noVBand="1"/>
      </w:tblPr>
      <w:tblGrid>
        <w:gridCol w:w="9195"/>
        <w:gridCol w:w="439"/>
      </w:tblGrid>
      <w:tr w:rsidR="00DC21C6" w:rsidRPr="00DC21C6" w14:paraId="6FBEE866" w14:textId="77777777" w:rsidTr="007D239D">
        <w:tc>
          <w:tcPr>
            <w:tcW w:w="9209" w:type="dxa"/>
            <w:vAlign w:val="bottom"/>
          </w:tcPr>
          <w:p w14:paraId="7ABFFD09" w14:textId="78BD9377" w:rsidR="00DC21C6" w:rsidRPr="00DC21C6" w:rsidRDefault="00DC21C6" w:rsidP="007D239D">
            <w:pPr>
              <w:ind w:left="1014" w:hanging="1014"/>
              <w:rPr>
                <w:rFonts w:ascii="Arial" w:hAnsi="Arial" w:cs="Arial"/>
                <w:sz w:val="20"/>
                <w:szCs w:val="20"/>
                <w:lang w:val="en-AE"/>
              </w:rPr>
            </w:pPr>
            <w:r>
              <w:rPr>
                <w:rFonts w:ascii="Arial" w:eastAsia="Times New Roman" w:hAnsi="Arial" w:cs="Arial"/>
                <w:b/>
                <w:bCs/>
                <w:sz w:val="20"/>
                <w:szCs w:val="20"/>
                <w:lang w:val="en-US"/>
              </w:rPr>
              <w:t xml:space="preserve">Text 1: Materials and Methods </w:t>
            </w:r>
            <w:r w:rsidRPr="00EE2DC2">
              <w:rPr>
                <w:rFonts w:ascii="Arial" w:eastAsia="Times New Roman" w:hAnsi="Arial" w:cs="Arial"/>
                <w:sz w:val="20"/>
                <w:szCs w:val="20"/>
                <w:lang w:val="en-US"/>
              </w:rPr>
              <w:t>…………</w:t>
            </w:r>
            <w:r>
              <w:rPr>
                <w:rFonts w:ascii="Arial" w:eastAsia="Times New Roman" w:hAnsi="Arial" w:cs="Arial"/>
                <w:sz w:val="20"/>
                <w:szCs w:val="20"/>
                <w:lang w:val="en-US"/>
              </w:rPr>
              <w:t>………………………………………………………………...</w:t>
            </w:r>
            <w:r w:rsidR="00EE2DC2">
              <w:rPr>
                <w:rFonts w:ascii="Arial" w:eastAsia="Times New Roman" w:hAnsi="Arial" w:cs="Arial"/>
                <w:sz w:val="20"/>
                <w:szCs w:val="20"/>
                <w:lang w:val="en-US"/>
              </w:rPr>
              <w:t>.....</w:t>
            </w:r>
          </w:p>
        </w:tc>
        <w:tc>
          <w:tcPr>
            <w:tcW w:w="425" w:type="dxa"/>
            <w:vAlign w:val="bottom"/>
          </w:tcPr>
          <w:p w14:paraId="325B32F6" w14:textId="785ED335" w:rsidR="00DC21C6" w:rsidRPr="00DC21C6" w:rsidRDefault="00DC21C6" w:rsidP="007D239D">
            <w:pPr>
              <w:rPr>
                <w:rFonts w:ascii="Arial" w:hAnsi="Arial" w:cs="Arial"/>
                <w:sz w:val="20"/>
                <w:szCs w:val="20"/>
                <w:lang w:val="en-AE"/>
              </w:rPr>
            </w:pPr>
            <w:r>
              <w:rPr>
                <w:rFonts w:ascii="Arial" w:hAnsi="Arial" w:cs="Arial"/>
                <w:sz w:val="20"/>
                <w:szCs w:val="20"/>
                <w:lang w:val="en-AE"/>
              </w:rPr>
              <w:t>2</w:t>
            </w:r>
          </w:p>
        </w:tc>
      </w:tr>
      <w:tr w:rsidR="00DC21C6" w:rsidRPr="00DC21C6" w14:paraId="7C2BDCD7" w14:textId="77777777" w:rsidTr="007D239D">
        <w:tc>
          <w:tcPr>
            <w:tcW w:w="9209" w:type="dxa"/>
            <w:vAlign w:val="bottom"/>
          </w:tcPr>
          <w:p w14:paraId="09E67384" w14:textId="1EB48E29" w:rsidR="00DC21C6" w:rsidRPr="00DC21C6" w:rsidRDefault="00DC21C6" w:rsidP="007D239D">
            <w:pPr>
              <w:ind w:left="1014" w:hanging="1014"/>
              <w:rPr>
                <w:rFonts w:ascii="Arial" w:hAnsi="Arial" w:cs="Arial"/>
                <w:sz w:val="20"/>
                <w:szCs w:val="20"/>
                <w:lang w:val="en-AE"/>
              </w:rPr>
            </w:pPr>
            <w:r>
              <w:rPr>
                <w:rFonts w:ascii="Arial" w:eastAsia="Times New Roman" w:hAnsi="Arial" w:cs="Arial"/>
                <w:b/>
                <w:bCs/>
                <w:sz w:val="20"/>
                <w:szCs w:val="20"/>
                <w:lang w:val="en-US"/>
              </w:rPr>
              <w:t>Text 2: Statistical Analysis and Data Processing</w:t>
            </w:r>
            <w:r w:rsidR="00EE2DC2" w:rsidRPr="00EE2DC2">
              <w:rPr>
                <w:rFonts w:ascii="Arial" w:eastAsia="Times New Roman" w:hAnsi="Arial" w:cs="Arial"/>
                <w:b/>
                <w:bCs/>
                <w:sz w:val="20"/>
                <w:szCs w:val="20"/>
                <w:lang w:val="en-US"/>
              </w:rPr>
              <w:t xml:space="preserve"> </w:t>
            </w:r>
            <w:r w:rsidRPr="00EE2DC2">
              <w:rPr>
                <w:rFonts w:ascii="Arial" w:eastAsia="Times New Roman" w:hAnsi="Arial" w:cs="Arial"/>
                <w:sz w:val="20"/>
                <w:szCs w:val="20"/>
                <w:lang w:val="en-US"/>
              </w:rPr>
              <w:t>…</w:t>
            </w:r>
            <w:r w:rsidR="004A129C">
              <w:rPr>
                <w:rFonts w:ascii="Arial" w:eastAsia="Times New Roman" w:hAnsi="Arial" w:cs="Arial"/>
                <w:sz w:val="20"/>
                <w:szCs w:val="20"/>
                <w:lang w:val="en-US"/>
              </w:rPr>
              <w:t>.</w:t>
            </w:r>
            <w:r w:rsidRPr="00EE2DC2">
              <w:rPr>
                <w:rFonts w:ascii="Arial" w:eastAsia="Times New Roman" w:hAnsi="Arial" w:cs="Arial"/>
                <w:sz w:val="20"/>
                <w:szCs w:val="20"/>
                <w:lang w:val="en-US"/>
              </w:rPr>
              <w:t>…………………………………………</w:t>
            </w:r>
            <w:proofErr w:type="gramStart"/>
            <w:r w:rsidRPr="00EE2DC2">
              <w:rPr>
                <w:rFonts w:ascii="Arial" w:eastAsia="Times New Roman" w:hAnsi="Arial" w:cs="Arial"/>
                <w:sz w:val="20"/>
                <w:szCs w:val="20"/>
                <w:lang w:val="en-US"/>
              </w:rPr>
              <w:t>…..</w:t>
            </w:r>
            <w:proofErr w:type="gramEnd"/>
            <w:r w:rsidRPr="00EE2DC2">
              <w:rPr>
                <w:rFonts w:ascii="Arial" w:eastAsia="Times New Roman" w:hAnsi="Arial" w:cs="Arial"/>
                <w:sz w:val="20"/>
                <w:szCs w:val="20"/>
                <w:lang w:val="en-US"/>
              </w:rPr>
              <w:t>…</w:t>
            </w:r>
            <w:r w:rsidR="00EE2DC2" w:rsidRPr="00EE2DC2">
              <w:rPr>
                <w:rFonts w:ascii="Arial" w:eastAsia="Times New Roman" w:hAnsi="Arial" w:cs="Arial"/>
                <w:sz w:val="20"/>
                <w:szCs w:val="20"/>
                <w:lang w:val="en-US"/>
              </w:rPr>
              <w:t>….</w:t>
            </w:r>
            <w:r w:rsidR="00EE2DC2">
              <w:rPr>
                <w:rFonts w:ascii="Arial" w:eastAsia="Times New Roman" w:hAnsi="Arial" w:cs="Arial"/>
                <w:sz w:val="20"/>
                <w:szCs w:val="20"/>
                <w:lang w:val="en-US"/>
              </w:rPr>
              <w:t>..</w:t>
            </w:r>
          </w:p>
        </w:tc>
        <w:tc>
          <w:tcPr>
            <w:tcW w:w="425" w:type="dxa"/>
            <w:vAlign w:val="bottom"/>
          </w:tcPr>
          <w:p w14:paraId="68EA3623" w14:textId="3D529CFA" w:rsidR="00DC21C6" w:rsidRPr="00DC21C6" w:rsidRDefault="00DC21C6" w:rsidP="007D239D">
            <w:pPr>
              <w:rPr>
                <w:rFonts w:ascii="Arial" w:hAnsi="Arial" w:cs="Arial"/>
                <w:sz w:val="20"/>
                <w:szCs w:val="20"/>
                <w:lang w:val="en-AE"/>
              </w:rPr>
            </w:pPr>
            <w:r>
              <w:rPr>
                <w:rFonts w:ascii="Arial" w:hAnsi="Arial" w:cs="Arial"/>
                <w:sz w:val="20"/>
                <w:szCs w:val="20"/>
                <w:lang w:val="en-AE"/>
              </w:rPr>
              <w:t>2</w:t>
            </w:r>
          </w:p>
        </w:tc>
      </w:tr>
      <w:tr w:rsidR="00DC21C6" w:rsidRPr="00DC21C6" w14:paraId="1E07B3DC" w14:textId="77777777" w:rsidTr="007D239D">
        <w:tc>
          <w:tcPr>
            <w:tcW w:w="9209" w:type="dxa"/>
            <w:vAlign w:val="bottom"/>
          </w:tcPr>
          <w:p w14:paraId="39C4152C" w14:textId="75A6993C" w:rsidR="00DC21C6" w:rsidRPr="00DC21C6" w:rsidRDefault="00DC21C6" w:rsidP="007D239D">
            <w:pPr>
              <w:ind w:left="1014" w:hanging="1014"/>
              <w:rPr>
                <w:rFonts w:ascii="Arial" w:hAnsi="Arial" w:cs="Arial"/>
                <w:sz w:val="20"/>
                <w:szCs w:val="20"/>
                <w:lang w:val="en-AE"/>
              </w:rPr>
            </w:pPr>
            <w:r w:rsidRPr="0057197B">
              <w:rPr>
                <w:rFonts w:ascii="Arial" w:eastAsia="Times New Roman" w:hAnsi="Arial" w:cs="Arial"/>
                <w:b/>
                <w:bCs/>
                <w:sz w:val="20"/>
                <w:szCs w:val="20"/>
                <w:lang w:val="en-US"/>
              </w:rPr>
              <w:t>Figure S1</w:t>
            </w:r>
            <w:r w:rsidRPr="0057197B">
              <w:rPr>
                <w:rFonts w:ascii="Arial" w:eastAsia="Times New Roman" w:hAnsi="Arial" w:cs="Arial"/>
                <w:sz w:val="20"/>
                <w:szCs w:val="20"/>
                <w:lang w:val="en-US"/>
              </w:rPr>
              <w:t xml:space="preserve">. Geographical distribution of the 23 sampling locations </w:t>
            </w:r>
            <w:r w:rsidR="000E4363">
              <w:rPr>
                <w:rFonts w:ascii="Arial" w:eastAsia="Times New Roman" w:hAnsi="Arial" w:cs="Arial"/>
                <w:sz w:val="20"/>
                <w:szCs w:val="20"/>
                <w:lang w:val="en-US"/>
              </w:rPr>
              <w:t>…………………………...</w:t>
            </w:r>
            <w:r w:rsidR="00EE2DC2">
              <w:rPr>
                <w:rFonts w:ascii="Arial" w:eastAsia="Times New Roman" w:hAnsi="Arial" w:cs="Arial"/>
                <w:sz w:val="20"/>
                <w:szCs w:val="20"/>
                <w:lang w:val="en-US"/>
              </w:rPr>
              <w:t>….</w:t>
            </w:r>
            <w:r>
              <w:rPr>
                <w:rFonts w:ascii="Arial" w:eastAsia="Times New Roman" w:hAnsi="Arial" w:cs="Arial"/>
                <w:sz w:val="20"/>
                <w:szCs w:val="20"/>
                <w:lang w:val="en-US"/>
              </w:rPr>
              <w:t>........</w:t>
            </w:r>
            <w:r w:rsidR="00EE2DC2">
              <w:rPr>
                <w:rFonts w:ascii="Arial" w:eastAsia="Times New Roman" w:hAnsi="Arial" w:cs="Arial"/>
                <w:sz w:val="20"/>
                <w:szCs w:val="20"/>
                <w:lang w:val="en-US"/>
              </w:rPr>
              <w:t>.....</w:t>
            </w:r>
          </w:p>
        </w:tc>
        <w:tc>
          <w:tcPr>
            <w:tcW w:w="425" w:type="dxa"/>
            <w:vAlign w:val="bottom"/>
          </w:tcPr>
          <w:p w14:paraId="326D1692" w14:textId="1D9069B4" w:rsidR="00DC21C6" w:rsidRPr="00DC21C6" w:rsidRDefault="008A34A2" w:rsidP="007D239D">
            <w:pPr>
              <w:rPr>
                <w:rFonts w:ascii="Arial" w:hAnsi="Arial" w:cs="Arial"/>
                <w:sz w:val="20"/>
                <w:szCs w:val="20"/>
                <w:lang w:val="en-AE"/>
              </w:rPr>
            </w:pPr>
            <w:r>
              <w:rPr>
                <w:rFonts w:ascii="Arial" w:hAnsi="Arial" w:cs="Arial"/>
                <w:sz w:val="20"/>
                <w:szCs w:val="20"/>
                <w:lang w:val="en-AE"/>
              </w:rPr>
              <w:t>4</w:t>
            </w:r>
          </w:p>
        </w:tc>
      </w:tr>
      <w:tr w:rsidR="00DC21C6" w:rsidRPr="00DC21C6" w14:paraId="053DA26A" w14:textId="77777777" w:rsidTr="007D239D">
        <w:tc>
          <w:tcPr>
            <w:tcW w:w="9209" w:type="dxa"/>
            <w:vAlign w:val="bottom"/>
          </w:tcPr>
          <w:p w14:paraId="288BCA14" w14:textId="07D91174" w:rsidR="00DC21C6" w:rsidRPr="00DC21C6" w:rsidRDefault="00DC21C6" w:rsidP="007D239D">
            <w:pPr>
              <w:spacing w:after="80"/>
              <w:ind w:left="1134" w:hanging="1134"/>
              <w:rPr>
                <w:rFonts w:ascii="Arial" w:hAnsi="Arial" w:cs="Arial"/>
                <w:sz w:val="20"/>
                <w:szCs w:val="20"/>
                <w:lang w:val="en-AE"/>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2</w:t>
            </w:r>
            <w:r w:rsidRPr="0057197B">
              <w:rPr>
                <w:rFonts w:ascii="Arial" w:eastAsia="Times New Roman" w:hAnsi="Arial" w:cs="Arial"/>
                <w:sz w:val="20"/>
                <w:szCs w:val="20"/>
                <w:lang w:val="en-US"/>
              </w:rPr>
              <w:t>. Atmospheric POP levels along the urbanization gradient in Spain</w:t>
            </w:r>
            <w:r w:rsidR="000E4363">
              <w:rPr>
                <w:rFonts w:ascii="Arial" w:eastAsia="Times New Roman" w:hAnsi="Arial" w:cs="Arial"/>
                <w:sz w:val="20"/>
                <w:szCs w:val="20"/>
                <w:lang w:val="en-US"/>
              </w:rPr>
              <w:t xml:space="preserve"> ………….</w:t>
            </w:r>
            <w:r>
              <w:rPr>
                <w:rFonts w:ascii="Arial" w:eastAsia="Times New Roman" w:hAnsi="Arial" w:cs="Arial"/>
                <w:sz w:val="20"/>
                <w:szCs w:val="20"/>
                <w:lang w:val="en-US"/>
              </w:rPr>
              <w:t>…</w:t>
            </w:r>
            <w:r w:rsidR="00EE2DC2">
              <w:rPr>
                <w:rFonts w:ascii="Arial" w:eastAsia="Times New Roman" w:hAnsi="Arial" w:cs="Arial"/>
                <w:sz w:val="20"/>
                <w:szCs w:val="20"/>
                <w:lang w:val="en-US"/>
              </w:rPr>
              <w:t>...</w:t>
            </w:r>
            <w:r>
              <w:rPr>
                <w:rFonts w:ascii="Arial" w:eastAsia="Times New Roman" w:hAnsi="Arial" w:cs="Arial"/>
                <w:sz w:val="20"/>
                <w:szCs w:val="20"/>
                <w:lang w:val="en-US"/>
              </w:rPr>
              <w:t>…</w:t>
            </w:r>
            <w:r w:rsidR="00EE2DC2">
              <w:rPr>
                <w:rFonts w:ascii="Arial" w:eastAsia="Times New Roman" w:hAnsi="Arial" w:cs="Arial"/>
                <w:sz w:val="20"/>
                <w:szCs w:val="20"/>
                <w:lang w:val="en-US"/>
              </w:rPr>
              <w:t>……</w:t>
            </w:r>
            <w:proofErr w:type="gramStart"/>
            <w:r w:rsidR="00EE2DC2">
              <w:rPr>
                <w:rFonts w:ascii="Arial" w:eastAsia="Times New Roman" w:hAnsi="Arial" w:cs="Arial"/>
                <w:sz w:val="20"/>
                <w:szCs w:val="20"/>
                <w:lang w:val="en-US"/>
              </w:rPr>
              <w:t>…..</w:t>
            </w:r>
            <w:proofErr w:type="gramEnd"/>
          </w:p>
        </w:tc>
        <w:tc>
          <w:tcPr>
            <w:tcW w:w="425" w:type="dxa"/>
            <w:vAlign w:val="bottom"/>
          </w:tcPr>
          <w:p w14:paraId="15D41BDD" w14:textId="0AD5777B" w:rsidR="00DC21C6" w:rsidRPr="00DC21C6" w:rsidRDefault="008A34A2" w:rsidP="007D239D">
            <w:pPr>
              <w:rPr>
                <w:rFonts w:ascii="Arial" w:hAnsi="Arial" w:cs="Arial"/>
                <w:sz w:val="20"/>
                <w:szCs w:val="20"/>
                <w:lang w:val="en-AE"/>
              </w:rPr>
            </w:pPr>
            <w:r>
              <w:rPr>
                <w:rFonts w:ascii="Arial" w:hAnsi="Arial" w:cs="Arial"/>
                <w:sz w:val="20"/>
                <w:szCs w:val="20"/>
                <w:lang w:val="en-AE"/>
              </w:rPr>
              <w:t>5</w:t>
            </w:r>
          </w:p>
        </w:tc>
      </w:tr>
      <w:tr w:rsidR="00DC21C6" w:rsidRPr="00DC21C6" w14:paraId="03419BE0" w14:textId="77777777" w:rsidTr="007D239D">
        <w:tc>
          <w:tcPr>
            <w:tcW w:w="9209" w:type="dxa"/>
            <w:vAlign w:val="bottom"/>
          </w:tcPr>
          <w:p w14:paraId="288C67AB" w14:textId="1DAC02DB" w:rsidR="00DC21C6" w:rsidRPr="00DC21C6" w:rsidRDefault="00DC21C6" w:rsidP="007D239D">
            <w:pPr>
              <w:spacing w:after="80"/>
              <w:ind w:left="1134" w:hanging="1134"/>
              <w:rPr>
                <w:rFonts w:ascii="Arial" w:hAnsi="Arial" w:cs="Arial"/>
                <w:sz w:val="20"/>
                <w:szCs w:val="20"/>
                <w:lang w:val="en-AE"/>
              </w:rPr>
            </w:pPr>
            <w:r w:rsidRPr="0057197B">
              <w:rPr>
                <w:rFonts w:ascii="Arial" w:hAnsi="Arial" w:cs="Arial"/>
                <w:b/>
                <w:bCs/>
                <w:sz w:val="20"/>
                <w:szCs w:val="20"/>
                <w:lang w:val="en-US"/>
              </w:rPr>
              <w:t>Figure S</w:t>
            </w:r>
            <w:r>
              <w:rPr>
                <w:rFonts w:ascii="Arial" w:hAnsi="Arial" w:cs="Arial"/>
                <w:b/>
                <w:bCs/>
                <w:sz w:val="20"/>
                <w:szCs w:val="20"/>
                <w:lang w:val="en-US"/>
              </w:rPr>
              <w:t>3</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w:t>
            </w:r>
            <w:r w:rsidR="000E4363">
              <w:rPr>
                <w:rFonts w:ascii="Arial" w:hAnsi="Arial" w:cs="Arial"/>
                <w:sz w:val="20"/>
                <w:szCs w:val="20"/>
                <w:lang w:val="en-US"/>
              </w:rPr>
              <w:t xml:space="preserve">and temporal trends of </w:t>
            </w:r>
            <w:r w:rsidRPr="0057197B">
              <w:rPr>
                <w:rFonts w:ascii="Arial" w:hAnsi="Arial" w:cs="Arial"/>
                <w:sz w:val="20"/>
                <w:szCs w:val="20"/>
                <w:lang w:val="en-US"/>
              </w:rPr>
              <w:t xml:space="preserve">median HCB and PeCB concentrations </w:t>
            </w:r>
            <w:r w:rsidR="000E4363">
              <w:rPr>
                <w:rFonts w:ascii="Arial" w:hAnsi="Arial" w:cs="Arial"/>
                <w:sz w:val="20"/>
                <w:szCs w:val="20"/>
                <w:lang w:val="en-US"/>
              </w:rPr>
              <w:t xml:space="preserve">………. </w:t>
            </w:r>
          </w:p>
        </w:tc>
        <w:tc>
          <w:tcPr>
            <w:tcW w:w="425" w:type="dxa"/>
            <w:vAlign w:val="bottom"/>
          </w:tcPr>
          <w:p w14:paraId="2D71D693" w14:textId="7B2DF9AC" w:rsidR="00DC21C6" w:rsidRPr="00DC21C6" w:rsidRDefault="008A34A2" w:rsidP="007D239D">
            <w:pPr>
              <w:rPr>
                <w:rFonts w:ascii="Arial" w:hAnsi="Arial" w:cs="Arial"/>
                <w:sz w:val="20"/>
                <w:szCs w:val="20"/>
                <w:lang w:val="en-AE"/>
              </w:rPr>
            </w:pPr>
            <w:r>
              <w:rPr>
                <w:rFonts w:ascii="Arial" w:hAnsi="Arial" w:cs="Arial"/>
                <w:sz w:val="20"/>
                <w:szCs w:val="20"/>
                <w:lang w:val="en-AE"/>
              </w:rPr>
              <w:t>6</w:t>
            </w:r>
          </w:p>
        </w:tc>
      </w:tr>
      <w:tr w:rsidR="00DC21C6" w:rsidRPr="00DC21C6" w14:paraId="3E8DC5AE" w14:textId="77777777" w:rsidTr="007D239D">
        <w:tc>
          <w:tcPr>
            <w:tcW w:w="9209" w:type="dxa"/>
            <w:vAlign w:val="bottom"/>
          </w:tcPr>
          <w:p w14:paraId="07058505" w14:textId="69D41B93" w:rsidR="00DC21C6" w:rsidRPr="00DC21C6" w:rsidRDefault="00DC21C6" w:rsidP="007D239D">
            <w:pPr>
              <w:spacing w:after="80"/>
              <w:ind w:left="1134" w:hanging="1134"/>
              <w:rPr>
                <w:rFonts w:ascii="Arial" w:hAnsi="Arial" w:cs="Arial"/>
                <w:sz w:val="20"/>
                <w:szCs w:val="20"/>
                <w:lang w:val="en-AE"/>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4</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Pr="00164BFE">
              <w:rPr>
                <w:rFonts w:ascii="Arial" w:eastAsia="Times New Roman" w:hAnsi="Arial" w:cs="Arial"/>
                <w:sz w:val="20"/>
                <w:szCs w:val="20"/>
                <w:lang w:val="en-US"/>
              </w:rPr>
              <w:t>Raincloud plots of HCB and PeCB atmospheric concentrations across the SMN</w:t>
            </w:r>
            <w:r w:rsidR="000E4363">
              <w:rPr>
                <w:rFonts w:ascii="Arial" w:eastAsia="Times New Roman" w:hAnsi="Arial" w:cs="Arial"/>
                <w:sz w:val="20"/>
                <w:szCs w:val="20"/>
                <w:lang w:val="en-US"/>
              </w:rPr>
              <w:t xml:space="preserve"> ……….</w:t>
            </w:r>
            <w:r w:rsidR="007D239D">
              <w:rPr>
                <w:rFonts w:ascii="Arial" w:eastAsia="Times New Roman" w:hAnsi="Arial" w:cs="Arial"/>
                <w:sz w:val="20"/>
                <w:szCs w:val="20"/>
                <w:lang w:val="en-US"/>
              </w:rPr>
              <w:t>…</w:t>
            </w:r>
            <w:r w:rsidR="00EE2DC2">
              <w:rPr>
                <w:rFonts w:ascii="Arial" w:eastAsia="Times New Roman" w:hAnsi="Arial" w:cs="Arial"/>
                <w:sz w:val="20"/>
                <w:szCs w:val="20"/>
                <w:lang w:val="en-US"/>
              </w:rPr>
              <w:t xml:space="preserve"> </w:t>
            </w:r>
          </w:p>
        </w:tc>
        <w:tc>
          <w:tcPr>
            <w:tcW w:w="425" w:type="dxa"/>
            <w:vAlign w:val="bottom"/>
          </w:tcPr>
          <w:p w14:paraId="79CCBD79" w14:textId="25C2E0F7" w:rsidR="00DC21C6" w:rsidRPr="00DC21C6" w:rsidRDefault="008A34A2" w:rsidP="007D239D">
            <w:pPr>
              <w:rPr>
                <w:rFonts w:ascii="Arial" w:hAnsi="Arial" w:cs="Arial"/>
                <w:sz w:val="20"/>
                <w:szCs w:val="20"/>
                <w:lang w:val="en-AE"/>
              </w:rPr>
            </w:pPr>
            <w:r>
              <w:rPr>
                <w:rFonts w:ascii="Arial" w:hAnsi="Arial" w:cs="Arial"/>
                <w:sz w:val="20"/>
                <w:szCs w:val="20"/>
                <w:lang w:val="en-AE"/>
              </w:rPr>
              <w:t>7</w:t>
            </w:r>
          </w:p>
        </w:tc>
      </w:tr>
      <w:tr w:rsidR="00DC21C6" w:rsidRPr="00DC21C6" w14:paraId="267B3EA6" w14:textId="77777777" w:rsidTr="007D239D">
        <w:tc>
          <w:tcPr>
            <w:tcW w:w="9209" w:type="dxa"/>
            <w:vAlign w:val="bottom"/>
          </w:tcPr>
          <w:p w14:paraId="5FE58325" w14:textId="162E7A4A" w:rsidR="00DC21C6" w:rsidRPr="00DC21C6" w:rsidRDefault="00DC21C6" w:rsidP="007D239D">
            <w:pPr>
              <w:spacing w:after="80"/>
              <w:ind w:left="1134" w:hanging="1134"/>
              <w:rPr>
                <w:rFonts w:ascii="Arial" w:hAnsi="Arial" w:cs="Arial"/>
                <w:sz w:val="20"/>
                <w:szCs w:val="20"/>
                <w:lang w:val="en-AE"/>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5</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Pr>
                <w:rFonts w:ascii="Arial" w:eastAsia="Times New Roman" w:hAnsi="Arial" w:cs="Arial"/>
                <w:sz w:val="20"/>
                <w:szCs w:val="20"/>
                <w:lang w:val="en-US"/>
              </w:rPr>
              <w:t xml:space="preserve">Representative </w:t>
            </w:r>
            <w:r w:rsidRPr="0057197B">
              <w:rPr>
                <w:rFonts w:ascii="Arial" w:eastAsia="Times New Roman" w:hAnsi="Arial" w:cs="Arial"/>
                <w:sz w:val="20"/>
                <w:szCs w:val="20"/>
                <w:lang w:val="en-US"/>
              </w:rPr>
              <w:t>Clausius-Clapeyron plot</w:t>
            </w:r>
            <w:r>
              <w:rPr>
                <w:rFonts w:ascii="Arial" w:eastAsia="Times New Roman" w:hAnsi="Arial" w:cs="Arial"/>
                <w:sz w:val="20"/>
                <w:szCs w:val="20"/>
                <w:lang w:val="en-US"/>
              </w:rPr>
              <w:t>s</w:t>
            </w:r>
            <w:r w:rsidRPr="0057197B">
              <w:rPr>
                <w:rFonts w:ascii="Arial" w:eastAsia="Times New Roman" w:hAnsi="Arial" w:cs="Arial"/>
                <w:sz w:val="20"/>
                <w:szCs w:val="20"/>
                <w:lang w:val="en-US"/>
              </w:rPr>
              <w:t xml:space="preserve"> for </w:t>
            </w:r>
            <w:r>
              <w:rPr>
                <w:rFonts w:ascii="Arial" w:eastAsia="Times New Roman" w:hAnsi="Arial" w:cs="Arial"/>
                <w:sz w:val="20"/>
                <w:szCs w:val="20"/>
                <w:lang w:val="en-US"/>
              </w:rPr>
              <w:t xml:space="preserve">selected compounds and </w:t>
            </w:r>
            <w:r w:rsidRPr="0057197B">
              <w:rPr>
                <w:rFonts w:ascii="Arial" w:eastAsia="Times New Roman" w:hAnsi="Arial" w:cs="Arial"/>
                <w:sz w:val="20"/>
                <w:szCs w:val="20"/>
                <w:lang w:val="en-US"/>
              </w:rPr>
              <w:t>monitoring stations</w:t>
            </w:r>
            <w:r w:rsidR="00EE2DC2">
              <w:rPr>
                <w:rFonts w:ascii="Arial" w:eastAsia="Times New Roman" w:hAnsi="Arial" w:cs="Arial"/>
                <w:sz w:val="20"/>
                <w:szCs w:val="20"/>
                <w:lang w:val="en-US"/>
              </w:rPr>
              <w:t xml:space="preserve"> </w:t>
            </w:r>
          </w:p>
        </w:tc>
        <w:tc>
          <w:tcPr>
            <w:tcW w:w="425" w:type="dxa"/>
            <w:vAlign w:val="bottom"/>
          </w:tcPr>
          <w:p w14:paraId="02E5019B" w14:textId="0342B756" w:rsidR="00DC21C6" w:rsidRPr="00DC21C6" w:rsidRDefault="008A34A2" w:rsidP="007D239D">
            <w:pPr>
              <w:rPr>
                <w:rFonts w:ascii="Arial" w:hAnsi="Arial" w:cs="Arial"/>
                <w:sz w:val="20"/>
                <w:szCs w:val="20"/>
                <w:lang w:val="en-AE"/>
              </w:rPr>
            </w:pPr>
            <w:r>
              <w:rPr>
                <w:rFonts w:ascii="Arial" w:hAnsi="Arial" w:cs="Arial"/>
                <w:sz w:val="20"/>
                <w:szCs w:val="20"/>
                <w:lang w:val="en-AE"/>
              </w:rPr>
              <w:t>8</w:t>
            </w:r>
          </w:p>
        </w:tc>
      </w:tr>
      <w:tr w:rsidR="00DC21C6" w:rsidRPr="00DC21C6" w14:paraId="65D570F9" w14:textId="77777777" w:rsidTr="007D239D">
        <w:tc>
          <w:tcPr>
            <w:tcW w:w="9209" w:type="dxa"/>
            <w:vAlign w:val="bottom"/>
          </w:tcPr>
          <w:p w14:paraId="611F27A5" w14:textId="1882F5F5" w:rsidR="00DC21C6" w:rsidRPr="00DC21C6" w:rsidRDefault="00DC21C6" w:rsidP="007D239D">
            <w:pPr>
              <w:spacing w:after="80"/>
              <w:ind w:left="1134" w:hanging="1134"/>
              <w:rPr>
                <w:rFonts w:ascii="Arial" w:hAnsi="Arial" w:cs="Arial"/>
                <w:sz w:val="20"/>
                <w:szCs w:val="20"/>
                <w:lang w:val="en-AE"/>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6</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Pr>
                <w:rFonts w:ascii="Arial" w:eastAsia="Times New Roman" w:hAnsi="Arial" w:cs="Arial"/>
                <w:sz w:val="20"/>
                <w:szCs w:val="20"/>
                <w:lang w:val="en-US"/>
              </w:rPr>
              <w:t>Representative l</w:t>
            </w:r>
            <w:r w:rsidRPr="0057197B">
              <w:rPr>
                <w:rFonts w:ascii="Arial" w:eastAsia="Times New Roman" w:hAnsi="Arial" w:cs="Arial"/>
                <w:sz w:val="20"/>
                <w:szCs w:val="20"/>
                <w:lang w:val="en-US"/>
              </w:rPr>
              <w:t>ong-term temporal trend</w:t>
            </w:r>
            <w:r>
              <w:rPr>
                <w:rFonts w:ascii="Arial" w:eastAsia="Times New Roman" w:hAnsi="Arial" w:cs="Arial"/>
                <w:sz w:val="20"/>
                <w:szCs w:val="20"/>
                <w:lang w:val="en-US"/>
              </w:rPr>
              <w:t>s</w:t>
            </w:r>
            <w:r w:rsidRPr="0057197B">
              <w:rPr>
                <w:rFonts w:ascii="Arial" w:eastAsia="Times New Roman" w:hAnsi="Arial" w:cs="Arial"/>
                <w:sz w:val="20"/>
                <w:szCs w:val="20"/>
                <w:lang w:val="en-US"/>
              </w:rPr>
              <w:t xml:space="preserve"> </w:t>
            </w:r>
            <w:r>
              <w:rPr>
                <w:rFonts w:ascii="Arial" w:eastAsia="Times New Roman" w:hAnsi="Arial" w:cs="Arial"/>
                <w:sz w:val="20"/>
                <w:szCs w:val="20"/>
                <w:lang w:val="en-US"/>
              </w:rPr>
              <w:t>(2</w:t>
            </w:r>
            <w:r w:rsidRPr="0057197B">
              <w:rPr>
                <w:rFonts w:ascii="Arial" w:eastAsia="Times New Roman" w:hAnsi="Arial" w:cs="Arial"/>
                <w:sz w:val="20"/>
                <w:szCs w:val="20"/>
                <w:lang w:val="en-US"/>
              </w:rPr>
              <w:t xml:space="preserve">009 </w:t>
            </w:r>
            <w:r w:rsidR="000E4363">
              <w:rPr>
                <w:rFonts w:ascii="Arial" w:eastAsia="Times New Roman" w:hAnsi="Arial" w:cs="Arial"/>
                <w:sz w:val="20"/>
                <w:szCs w:val="20"/>
                <w:lang w:val="en-US"/>
              </w:rPr>
              <w:t>-</w:t>
            </w:r>
            <w:r w:rsidRPr="0057197B">
              <w:rPr>
                <w:rFonts w:ascii="Arial" w:eastAsia="Times New Roman" w:hAnsi="Arial" w:cs="Arial"/>
                <w:sz w:val="20"/>
                <w:szCs w:val="20"/>
                <w:lang w:val="en-US"/>
              </w:rPr>
              <w:t xml:space="preserve"> 2023</w:t>
            </w:r>
            <w:r>
              <w:rPr>
                <w:rFonts w:ascii="Arial" w:eastAsia="Times New Roman" w:hAnsi="Arial" w:cs="Arial"/>
                <w:sz w:val="20"/>
                <w:szCs w:val="20"/>
                <w:lang w:val="en-US"/>
              </w:rPr>
              <w:t>) for selected POPs and monitoring stations …………………………………</w:t>
            </w:r>
            <w:r w:rsidR="000E4363">
              <w:rPr>
                <w:rFonts w:ascii="Arial" w:eastAsia="Times New Roman" w:hAnsi="Arial" w:cs="Arial"/>
                <w:sz w:val="20"/>
                <w:szCs w:val="20"/>
                <w:lang w:val="en-US"/>
              </w:rPr>
              <w:t>.</w:t>
            </w:r>
            <w:r w:rsidR="00EE2DC2">
              <w:rPr>
                <w:rFonts w:ascii="Arial" w:eastAsia="Times New Roman" w:hAnsi="Arial" w:cs="Arial"/>
                <w:sz w:val="20"/>
                <w:szCs w:val="20"/>
                <w:lang w:val="en-US"/>
              </w:rPr>
              <w:t>………………………………………...</w:t>
            </w:r>
            <w:r w:rsidR="000E4363">
              <w:rPr>
                <w:rFonts w:ascii="Arial" w:eastAsia="Times New Roman" w:hAnsi="Arial" w:cs="Arial"/>
                <w:sz w:val="20"/>
                <w:szCs w:val="20"/>
                <w:lang w:val="en-US"/>
              </w:rPr>
              <w:t>....</w:t>
            </w:r>
            <w:r w:rsidR="007D239D">
              <w:rPr>
                <w:rFonts w:ascii="Arial" w:eastAsia="Times New Roman" w:hAnsi="Arial" w:cs="Arial"/>
                <w:sz w:val="20"/>
                <w:szCs w:val="20"/>
                <w:lang w:val="en-US"/>
              </w:rPr>
              <w:t>.</w:t>
            </w:r>
          </w:p>
        </w:tc>
        <w:tc>
          <w:tcPr>
            <w:tcW w:w="425" w:type="dxa"/>
            <w:vAlign w:val="bottom"/>
          </w:tcPr>
          <w:p w14:paraId="0340BE69" w14:textId="166311FB" w:rsidR="00DC21C6" w:rsidRPr="00DC21C6" w:rsidRDefault="008A34A2" w:rsidP="007D239D">
            <w:pPr>
              <w:rPr>
                <w:rFonts w:ascii="Arial" w:hAnsi="Arial" w:cs="Arial"/>
                <w:sz w:val="20"/>
                <w:szCs w:val="20"/>
                <w:lang w:val="en-AE"/>
              </w:rPr>
            </w:pPr>
            <w:r>
              <w:rPr>
                <w:rFonts w:ascii="Arial" w:hAnsi="Arial" w:cs="Arial"/>
                <w:sz w:val="20"/>
                <w:szCs w:val="20"/>
                <w:lang w:val="en-AE"/>
              </w:rPr>
              <w:t>9</w:t>
            </w:r>
          </w:p>
        </w:tc>
      </w:tr>
      <w:tr w:rsidR="00DC21C6" w:rsidRPr="00DC21C6" w14:paraId="301497DD" w14:textId="77777777" w:rsidTr="007D239D">
        <w:tc>
          <w:tcPr>
            <w:tcW w:w="9209" w:type="dxa"/>
            <w:vAlign w:val="bottom"/>
          </w:tcPr>
          <w:p w14:paraId="620A7552" w14:textId="18377151" w:rsidR="00DC21C6" w:rsidRPr="00DC21C6" w:rsidRDefault="00DC21C6" w:rsidP="007D239D">
            <w:pPr>
              <w:spacing w:after="80"/>
              <w:ind w:left="1134" w:hanging="1134"/>
              <w:rPr>
                <w:rFonts w:ascii="Arial" w:hAnsi="Arial" w:cs="Arial"/>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7</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Pr="00164BFE">
              <w:rPr>
                <w:rFonts w:ascii="Arial" w:eastAsia="Times New Roman" w:hAnsi="Arial" w:cs="Arial"/>
                <w:sz w:val="20"/>
                <w:szCs w:val="20"/>
                <w:lang w:val="en-US"/>
              </w:rPr>
              <w:t>Raincloud plots of endosulfan atmospheric concentrations</w:t>
            </w:r>
            <w:r w:rsidR="000E4363">
              <w:rPr>
                <w:rFonts w:ascii="Arial" w:eastAsia="Times New Roman" w:hAnsi="Arial" w:cs="Arial"/>
                <w:sz w:val="20"/>
                <w:szCs w:val="20"/>
                <w:lang w:val="en-US"/>
              </w:rPr>
              <w:t xml:space="preserve"> </w:t>
            </w:r>
            <w:r w:rsidRPr="00164BFE">
              <w:rPr>
                <w:rFonts w:ascii="Arial" w:eastAsia="Times New Roman" w:hAnsi="Arial" w:cs="Arial"/>
                <w:sz w:val="20"/>
                <w:szCs w:val="20"/>
                <w:lang w:val="en-US"/>
              </w:rPr>
              <w:t xml:space="preserve">across the SMN </w:t>
            </w:r>
            <w:r w:rsidR="00EE2DC2">
              <w:rPr>
                <w:rFonts w:ascii="Arial" w:eastAsia="Times New Roman" w:hAnsi="Arial" w:cs="Arial"/>
                <w:sz w:val="20"/>
                <w:szCs w:val="20"/>
                <w:lang w:val="en-US"/>
              </w:rPr>
              <w:t>…</w:t>
            </w:r>
            <w:r w:rsidR="000E4363">
              <w:rPr>
                <w:rFonts w:ascii="Arial" w:eastAsia="Times New Roman" w:hAnsi="Arial" w:cs="Arial"/>
                <w:sz w:val="20"/>
                <w:szCs w:val="20"/>
                <w:lang w:val="en-US"/>
              </w:rPr>
              <w:t>…………</w:t>
            </w:r>
            <w:proofErr w:type="gramStart"/>
            <w:r w:rsidR="00EE2DC2">
              <w:rPr>
                <w:rFonts w:ascii="Arial" w:eastAsia="Times New Roman" w:hAnsi="Arial" w:cs="Arial"/>
                <w:sz w:val="20"/>
                <w:szCs w:val="20"/>
                <w:lang w:val="en-US"/>
              </w:rPr>
              <w:t>.</w:t>
            </w:r>
            <w:r w:rsidR="007D239D">
              <w:rPr>
                <w:rFonts w:ascii="Arial" w:eastAsia="Times New Roman" w:hAnsi="Arial" w:cs="Arial"/>
                <w:sz w:val="20"/>
                <w:szCs w:val="20"/>
                <w:lang w:val="en-US"/>
              </w:rPr>
              <w:t>..</w:t>
            </w:r>
            <w:r w:rsidR="000E4363">
              <w:rPr>
                <w:rFonts w:ascii="Arial" w:eastAsia="Times New Roman" w:hAnsi="Arial" w:cs="Arial"/>
                <w:sz w:val="20"/>
                <w:szCs w:val="20"/>
                <w:lang w:val="en-US"/>
              </w:rPr>
              <w:t>..</w:t>
            </w:r>
            <w:proofErr w:type="gramEnd"/>
          </w:p>
        </w:tc>
        <w:tc>
          <w:tcPr>
            <w:tcW w:w="425" w:type="dxa"/>
            <w:vAlign w:val="bottom"/>
          </w:tcPr>
          <w:p w14:paraId="4643BF74" w14:textId="22C1A0BC" w:rsidR="00DC21C6" w:rsidRPr="00DC21C6" w:rsidRDefault="008A34A2" w:rsidP="007D239D">
            <w:pPr>
              <w:rPr>
                <w:rFonts w:ascii="Arial" w:hAnsi="Arial" w:cs="Arial"/>
                <w:sz w:val="20"/>
                <w:szCs w:val="20"/>
                <w:lang w:val="en-AE"/>
              </w:rPr>
            </w:pPr>
            <w:r>
              <w:rPr>
                <w:rFonts w:ascii="Arial" w:hAnsi="Arial" w:cs="Arial"/>
                <w:sz w:val="20"/>
                <w:szCs w:val="20"/>
                <w:lang w:val="en-AE"/>
              </w:rPr>
              <w:t>10</w:t>
            </w:r>
          </w:p>
        </w:tc>
      </w:tr>
      <w:tr w:rsidR="00DC21C6" w:rsidRPr="00DC21C6" w14:paraId="70DAA343" w14:textId="77777777" w:rsidTr="007D239D">
        <w:tc>
          <w:tcPr>
            <w:tcW w:w="9209" w:type="dxa"/>
            <w:vAlign w:val="bottom"/>
          </w:tcPr>
          <w:p w14:paraId="7657AB3D" w14:textId="5BA32C0A" w:rsidR="00DC21C6" w:rsidRPr="00DC21C6" w:rsidRDefault="00DC21C6" w:rsidP="007D239D">
            <w:pPr>
              <w:spacing w:after="80"/>
              <w:ind w:left="1134" w:hanging="1134"/>
              <w:rPr>
                <w:rFonts w:ascii="Arial" w:hAnsi="Arial" w:cs="Arial"/>
                <w:sz w:val="20"/>
                <w:szCs w:val="20"/>
                <w:lang w:val="en-AE"/>
              </w:rPr>
            </w:pPr>
            <w:r w:rsidRPr="0057197B">
              <w:rPr>
                <w:rFonts w:ascii="Arial" w:hAnsi="Arial" w:cs="Arial"/>
                <w:b/>
                <w:bCs/>
                <w:sz w:val="20"/>
                <w:szCs w:val="20"/>
                <w:lang w:val="en-US"/>
              </w:rPr>
              <w:t>Figure S</w:t>
            </w:r>
            <w:r>
              <w:rPr>
                <w:rFonts w:ascii="Arial" w:hAnsi="Arial" w:cs="Arial"/>
                <w:b/>
                <w:bCs/>
                <w:sz w:val="20"/>
                <w:szCs w:val="20"/>
                <w:lang w:val="en-US"/>
              </w:rPr>
              <w:t>8</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w:t>
            </w:r>
            <w:r w:rsidR="000E4363">
              <w:rPr>
                <w:rFonts w:ascii="Arial" w:hAnsi="Arial" w:cs="Arial"/>
                <w:sz w:val="20"/>
                <w:szCs w:val="20"/>
                <w:lang w:val="en-US"/>
              </w:rPr>
              <w:t xml:space="preserve">and temporal trends of </w:t>
            </w:r>
            <w:r w:rsidRPr="0057197B">
              <w:rPr>
                <w:rFonts w:ascii="Arial" w:hAnsi="Arial" w:cs="Arial"/>
                <w:sz w:val="20"/>
                <w:szCs w:val="20"/>
                <w:lang w:val="en-US"/>
              </w:rPr>
              <w:t xml:space="preserve">median </w:t>
            </w:r>
            <w:r>
              <w:rPr>
                <w:rFonts w:ascii="Arial" w:hAnsi="Arial" w:cs="Arial"/>
                <w:sz w:val="20"/>
                <w:szCs w:val="20"/>
                <w:lang w:val="en-US"/>
              </w:rPr>
              <w:t>endosulfan</w:t>
            </w:r>
            <w:r w:rsidRPr="0057197B">
              <w:rPr>
                <w:rFonts w:ascii="Arial" w:hAnsi="Arial" w:cs="Arial"/>
                <w:sz w:val="20"/>
                <w:szCs w:val="20"/>
                <w:lang w:val="en-US"/>
              </w:rPr>
              <w:t xml:space="preserve"> concentrations</w:t>
            </w:r>
            <w:r w:rsidR="000E4363">
              <w:rPr>
                <w:rFonts w:ascii="Arial" w:hAnsi="Arial" w:cs="Arial"/>
                <w:sz w:val="20"/>
                <w:szCs w:val="20"/>
                <w:lang w:val="en-US"/>
              </w:rPr>
              <w:t xml:space="preserve"> </w:t>
            </w:r>
            <w:r w:rsidR="00EE2DC2">
              <w:rPr>
                <w:rFonts w:ascii="Arial" w:hAnsi="Arial" w:cs="Arial"/>
                <w:sz w:val="20"/>
                <w:szCs w:val="20"/>
                <w:lang w:val="en-US"/>
              </w:rPr>
              <w:t>…………</w:t>
            </w:r>
            <w:proofErr w:type="gramStart"/>
            <w:r w:rsidR="00EE2DC2">
              <w:rPr>
                <w:rFonts w:ascii="Arial" w:hAnsi="Arial" w:cs="Arial"/>
                <w:sz w:val="20"/>
                <w:szCs w:val="20"/>
                <w:lang w:val="en-US"/>
              </w:rPr>
              <w:t>...</w:t>
            </w:r>
            <w:r w:rsidR="007D239D">
              <w:rPr>
                <w:rFonts w:ascii="Arial" w:hAnsi="Arial" w:cs="Arial"/>
                <w:sz w:val="20"/>
                <w:szCs w:val="20"/>
                <w:lang w:val="en-US"/>
              </w:rPr>
              <w:t>..</w:t>
            </w:r>
            <w:proofErr w:type="gramEnd"/>
          </w:p>
        </w:tc>
        <w:tc>
          <w:tcPr>
            <w:tcW w:w="425" w:type="dxa"/>
            <w:vAlign w:val="bottom"/>
          </w:tcPr>
          <w:p w14:paraId="1C512A90" w14:textId="29DC22BB"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1</w:t>
            </w:r>
          </w:p>
        </w:tc>
      </w:tr>
      <w:tr w:rsidR="00DC21C6" w:rsidRPr="00DC21C6" w14:paraId="74991959" w14:textId="77777777" w:rsidTr="007D239D">
        <w:tc>
          <w:tcPr>
            <w:tcW w:w="9209" w:type="dxa"/>
            <w:vAlign w:val="bottom"/>
          </w:tcPr>
          <w:p w14:paraId="30F6013B" w14:textId="4C92F680" w:rsidR="00DC21C6" w:rsidRPr="00DC21C6" w:rsidRDefault="00DC21C6" w:rsidP="007D239D">
            <w:pPr>
              <w:spacing w:after="80"/>
              <w:ind w:left="1134" w:hanging="1134"/>
              <w:rPr>
                <w:rFonts w:ascii="Arial" w:hAnsi="Arial" w:cs="Arial"/>
                <w:sz w:val="20"/>
                <w:szCs w:val="20"/>
                <w:lang w:val="en-AE"/>
              </w:rPr>
            </w:pPr>
            <w:r w:rsidRPr="0057197B">
              <w:rPr>
                <w:rFonts w:ascii="Arial" w:hAnsi="Arial" w:cs="Arial"/>
                <w:b/>
                <w:bCs/>
                <w:sz w:val="20"/>
                <w:szCs w:val="20"/>
                <w:lang w:val="en-US"/>
              </w:rPr>
              <w:t>Figure S</w:t>
            </w:r>
            <w:r>
              <w:rPr>
                <w:rFonts w:ascii="Arial" w:hAnsi="Arial" w:cs="Arial"/>
                <w:b/>
                <w:bCs/>
                <w:sz w:val="20"/>
                <w:szCs w:val="20"/>
                <w:lang w:val="en-US"/>
              </w:rPr>
              <w:t>9</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w:t>
            </w:r>
            <w:r w:rsidR="000E4363">
              <w:rPr>
                <w:rFonts w:ascii="Arial" w:hAnsi="Arial" w:cs="Arial"/>
                <w:sz w:val="20"/>
                <w:szCs w:val="20"/>
                <w:lang w:val="en-US"/>
              </w:rPr>
              <w:t xml:space="preserve">and temporal trends </w:t>
            </w:r>
            <w:r w:rsidRPr="0057197B">
              <w:rPr>
                <w:rFonts w:ascii="Arial" w:hAnsi="Arial" w:cs="Arial"/>
                <w:sz w:val="20"/>
                <w:szCs w:val="20"/>
                <w:lang w:val="en-US"/>
              </w:rPr>
              <w:t xml:space="preserve">of median </w:t>
            </w:r>
            <w:r>
              <w:rPr>
                <w:rFonts w:ascii="Arial" w:hAnsi="Arial" w:cs="Arial"/>
                <w:sz w:val="20"/>
                <w:szCs w:val="20"/>
                <w:lang w:val="en-US"/>
              </w:rPr>
              <w:t>DDX</w:t>
            </w:r>
            <w:r w:rsidRPr="0057197B">
              <w:rPr>
                <w:rFonts w:ascii="Arial" w:hAnsi="Arial" w:cs="Arial"/>
                <w:sz w:val="20"/>
                <w:szCs w:val="20"/>
                <w:lang w:val="en-US"/>
              </w:rPr>
              <w:t xml:space="preserve"> concentrations </w:t>
            </w:r>
            <w:r w:rsidR="000E4363">
              <w:rPr>
                <w:rFonts w:ascii="Arial" w:hAnsi="Arial" w:cs="Arial"/>
                <w:sz w:val="20"/>
                <w:szCs w:val="20"/>
                <w:lang w:val="en-US"/>
              </w:rPr>
              <w:t>……</w:t>
            </w:r>
            <w:r w:rsidR="007D239D">
              <w:rPr>
                <w:rFonts w:ascii="Arial" w:hAnsi="Arial" w:cs="Arial"/>
                <w:sz w:val="20"/>
                <w:szCs w:val="20"/>
                <w:lang w:val="en-US"/>
              </w:rPr>
              <w:t>......................</w:t>
            </w:r>
          </w:p>
        </w:tc>
        <w:tc>
          <w:tcPr>
            <w:tcW w:w="425" w:type="dxa"/>
            <w:vAlign w:val="bottom"/>
          </w:tcPr>
          <w:p w14:paraId="6899F000" w14:textId="4651292D"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2</w:t>
            </w:r>
          </w:p>
        </w:tc>
      </w:tr>
      <w:tr w:rsidR="00DC21C6" w:rsidRPr="00DC21C6" w14:paraId="07625EE3" w14:textId="77777777" w:rsidTr="007D239D">
        <w:tc>
          <w:tcPr>
            <w:tcW w:w="9209" w:type="dxa"/>
            <w:vAlign w:val="bottom"/>
          </w:tcPr>
          <w:p w14:paraId="07C71EA5" w14:textId="76C6E70B" w:rsidR="00DC21C6" w:rsidRPr="00DC21C6" w:rsidRDefault="00DC21C6" w:rsidP="007D239D">
            <w:pPr>
              <w:spacing w:after="80"/>
              <w:ind w:left="1134" w:hanging="1134"/>
              <w:rPr>
                <w:rFonts w:ascii="Arial" w:hAnsi="Arial" w:cs="Arial"/>
                <w:sz w:val="20"/>
                <w:szCs w:val="20"/>
                <w:lang w:val="en-AE"/>
              </w:rPr>
            </w:pPr>
            <w:r w:rsidRPr="0057197B">
              <w:rPr>
                <w:rFonts w:ascii="Arial" w:hAnsi="Arial" w:cs="Arial"/>
                <w:b/>
                <w:bCs/>
                <w:sz w:val="20"/>
                <w:szCs w:val="20"/>
                <w:lang w:val="en-US"/>
              </w:rPr>
              <w:t>Figure S</w:t>
            </w:r>
            <w:r>
              <w:rPr>
                <w:rFonts w:ascii="Arial" w:hAnsi="Arial" w:cs="Arial"/>
                <w:b/>
                <w:bCs/>
                <w:sz w:val="20"/>
                <w:szCs w:val="20"/>
                <w:lang w:val="en-US"/>
              </w:rPr>
              <w:t>10</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w:t>
            </w:r>
            <w:r w:rsidR="000E4363">
              <w:rPr>
                <w:rFonts w:ascii="Arial" w:hAnsi="Arial" w:cs="Arial"/>
                <w:sz w:val="20"/>
                <w:szCs w:val="20"/>
                <w:lang w:val="en-US"/>
              </w:rPr>
              <w:t>and temporal trends o</w:t>
            </w:r>
            <w:r w:rsidRPr="0057197B">
              <w:rPr>
                <w:rFonts w:ascii="Arial" w:hAnsi="Arial" w:cs="Arial"/>
                <w:sz w:val="20"/>
                <w:szCs w:val="20"/>
                <w:lang w:val="en-US"/>
              </w:rPr>
              <w:t xml:space="preserve">f median </w:t>
            </w:r>
            <w:r>
              <w:rPr>
                <w:rFonts w:ascii="Arial" w:hAnsi="Arial" w:cs="Arial"/>
                <w:sz w:val="20"/>
                <w:szCs w:val="20"/>
                <w:lang w:val="en-US"/>
              </w:rPr>
              <w:t>HCH</w:t>
            </w:r>
            <w:r w:rsidRPr="0057197B">
              <w:rPr>
                <w:rFonts w:ascii="Arial" w:hAnsi="Arial" w:cs="Arial"/>
                <w:sz w:val="20"/>
                <w:szCs w:val="20"/>
                <w:lang w:val="en-US"/>
              </w:rPr>
              <w:t xml:space="preserve"> concentrations</w:t>
            </w:r>
            <w:proofErr w:type="gramStart"/>
            <w:r w:rsidR="000E4363">
              <w:rPr>
                <w:rFonts w:ascii="Arial" w:hAnsi="Arial" w:cs="Arial"/>
                <w:sz w:val="20"/>
                <w:szCs w:val="20"/>
                <w:lang w:val="en-US"/>
              </w:rPr>
              <w:t xml:space="preserve"> ..</w:t>
            </w:r>
            <w:proofErr w:type="gramEnd"/>
            <w:r>
              <w:rPr>
                <w:rFonts w:ascii="Arial" w:hAnsi="Arial" w:cs="Arial"/>
                <w:sz w:val="20"/>
                <w:szCs w:val="20"/>
                <w:lang w:val="en-US"/>
              </w:rPr>
              <w:t>…</w:t>
            </w:r>
            <w:r w:rsidR="000E4363">
              <w:rPr>
                <w:rFonts w:ascii="Arial" w:hAnsi="Arial" w:cs="Arial"/>
                <w:sz w:val="20"/>
                <w:szCs w:val="20"/>
                <w:lang w:val="en-US"/>
              </w:rPr>
              <w:t>..</w:t>
            </w:r>
            <w:r>
              <w:rPr>
                <w:rFonts w:ascii="Arial" w:hAnsi="Arial" w:cs="Arial"/>
                <w:sz w:val="20"/>
                <w:szCs w:val="20"/>
                <w:lang w:val="en-US"/>
              </w:rPr>
              <w:t>…………</w:t>
            </w:r>
            <w:r w:rsidR="00EE2DC2">
              <w:rPr>
                <w:rFonts w:ascii="Arial" w:hAnsi="Arial" w:cs="Arial"/>
                <w:sz w:val="20"/>
                <w:szCs w:val="20"/>
                <w:lang w:val="en-US"/>
              </w:rPr>
              <w:t>...</w:t>
            </w:r>
            <w:r w:rsidR="007D239D">
              <w:rPr>
                <w:rFonts w:ascii="Arial" w:hAnsi="Arial" w:cs="Arial"/>
                <w:sz w:val="20"/>
                <w:szCs w:val="20"/>
                <w:lang w:val="en-US"/>
              </w:rPr>
              <w:t>..</w:t>
            </w:r>
          </w:p>
        </w:tc>
        <w:tc>
          <w:tcPr>
            <w:tcW w:w="425" w:type="dxa"/>
            <w:vAlign w:val="bottom"/>
          </w:tcPr>
          <w:p w14:paraId="7CEF677F" w14:textId="1397D6E7"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3</w:t>
            </w:r>
          </w:p>
        </w:tc>
      </w:tr>
      <w:tr w:rsidR="00DC21C6" w:rsidRPr="00DC21C6" w14:paraId="6AC4D4A0" w14:textId="77777777" w:rsidTr="007D239D">
        <w:tc>
          <w:tcPr>
            <w:tcW w:w="9209" w:type="dxa"/>
            <w:vAlign w:val="bottom"/>
          </w:tcPr>
          <w:p w14:paraId="456DEFCC" w14:textId="3C567DB2" w:rsidR="00DC21C6" w:rsidRPr="0057197B" w:rsidRDefault="00DC21C6" w:rsidP="007D239D">
            <w:pPr>
              <w:spacing w:after="80"/>
              <w:ind w:left="1134" w:hanging="1134"/>
              <w:rPr>
                <w:rFonts w:ascii="Arial" w:hAnsi="Arial" w:cs="Arial"/>
                <w:b/>
                <w:bCs/>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11</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Pr="00164BFE">
              <w:rPr>
                <w:rFonts w:ascii="Arial" w:eastAsia="Times New Roman" w:hAnsi="Arial" w:cs="Arial"/>
                <w:sz w:val="20"/>
                <w:szCs w:val="20"/>
                <w:lang w:val="en-US"/>
              </w:rPr>
              <w:t xml:space="preserve">Raincloud plots of </w:t>
            </w:r>
            <w:r>
              <w:rPr>
                <w:rFonts w:ascii="Arial" w:eastAsia="Times New Roman" w:hAnsi="Arial" w:cs="Arial"/>
                <w:sz w:val="20"/>
                <w:szCs w:val="20"/>
                <w:lang w:val="en-US"/>
              </w:rPr>
              <w:t>iPCBs</w:t>
            </w:r>
            <w:r w:rsidRPr="00164BFE">
              <w:rPr>
                <w:rFonts w:ascii="Arial" w:eastAsia="Times New Roman" w:hAnsi="Arial" w:cs="Arial"/>
                <w:sz w:val="20"/>
                <w:szCs w:val="20"/>
                <w:lang w:val="en-US"/>
              </w:rPr>
              <w:t xml:space="preserve"> atmospheric concentrations across the SMN </w:t>
            </w:r>
            <w:r w:rsidR="00EE2DC2">
              <w:rPr>
                <w:rFonts w:ascii="Arial" w:eastAsia="Times New Roman" w:hAnsi="Arial" w:cs="Arial"/>
                <w:sz w:val="20"/>
                <w:szCs w:val="20"/>
                <w:lang w:val="en-US"/>
              </w:rPr>
              <w:t>…</w:t>
            </w:r>
            <w:r w:rsidR="000E4363">
              <w:rPr>
                <w:rFonts w:ascii="Arial" w:eastAsia="Times New Roman" w:hAnsi="Arial" w:cs="Arial"/>
                <w:sz w:val="20"/>
                <w:szCs w:val="20"/>
                <w:lang w:val="en-US"/>
              </w:rPr>
              <w:t>……</w:t>
            </w:r>
            <w:proofErr w:type="gramStart"/>
            <w:r w:rsidR="000E4363">
              <w:rPr>
                <w:rFonts w:ascii="Arial" w:eastAsia="Times New Roman" w:hAnsi="Arial" w:cs="Arial"/>
                <w:sz w:val="20"/>
                <w:szCs w:val="20"/>
                <w:lang w:val="en-US"/>
              </w:rPr>
              <w:t>…</w:t>
            </w:r>
            <w:r w:rsidR="004A129C">
              <w:rPr>
                <w:rFonts w:ascii="Arial" w:eastAsia="Times New Roman" w:hAnsi="Arial" w:cs="Arial"/>
                <w:sz w:val="20"/>
                <w:szCs w:val="20"/>
                <w:lang w:val="en-US"/>
              </w:rPr>
              <w:t>..</w:t>
            </w:r>
            <w:proofErr w:type="gramEnd"/>
            <w:r w:rsidR="000E4363">
              <w:rPr>
                <w:rFonts w:ascii="Arial" w:eastAsia="Times New Roman" w:hAnsi="Arial" w:cs="Arial"/>
                <w:sz w:val="20"/>
                <w:szCs w:val="20"/>
                <w:lang w:val="en-US"/>
              </w:rPr>
              <w:t>…</w:t>
            </w:r>
            <w:r w:rsidR="00EE2DC2">
              <w:rPr>
                <w:rFonts w:ascii="Arial" w:eastAsia="Times New Roman" w:hAnsi="Arial" w:cs="Arial"/>
                <w:sz w:val="20"/>
                <w:szCs w:val="20"/>
                <w:lang w:val="en-US"/>
              </w:rPr>
              <w:t>…...</w:t>
            </w:r>
            <w:r w:rsidR="007D239D">
              <w:rPr>
                <w:rFonts w:ascii="Arial" w:eastAsia="Times New Roman" w:hAnsi="Arial" w:cs="Arial"/>
                <w:sz w:val="20"/>
                <w:szCs w:val="20"/>
                <w:lang w:val="en-US"/>
              </w:rPr>
              <w:t>..</w:t>
            </w:r>
          </w:p>
        </w:tc>
        <w:tc>
          <w:tcPr>
            <w:tcW w:w="425" w:type="dxa"/>
            <w:vAlign w:val="bottom"/>
          </w:tcPr>
          <w:p w14:paraId="259546AB" w14:textId="28A98ECB"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4</w:t>
            </w:r>
          </w:p>
        </w:tc>
      </w:tr>
      <w:tr w:rsidR="00DC21C6" w:rsidRPr="00DC21C6" w14:paraId="548DD5B2" w14:textId="77777777" w:rsidTr="007D239D">
        <w:tc>
          <w:tcPr>
            <w:tcW w:w="9209" w:type="dxa"/>
            <w:vAlign w:val="bottom"/>
          </w:tcPr>
          <w:p w14:paraId="6215C0B9" w14:textId="2C14359D" w:rsidR="00DC21C6" w:rsidRPr="00DC21C6" w:rsidRDefault="00DC21C6" w:rsidP="007D239D">
            <w:pPr>
              <w:spacing w:after="80"/>
              <w:ind w:left="1134" w:hanging="1134"/>
              <w:rPr>
                <w:rFonts w:ascii="Arial" w:hAnsi="Arial" w:cs="Arial"/>
                <w:sz w:val="20"/>
                <w:szCs w:val="20"/>
                <w:lang w:val="en-AE"/>
              </w:rPr>
            </w:pPr>
            <w:r w:rsidRPr="0057197B">
              <w:rPr>
                <w:rFonts w:ascii="Arial" w:hAnsi="Arial" w:cs="Arial"/>
                <w:b/>
                <w:bCs/>
                <w:sz w:val="20"/>
                <w:szCs w:val="20"/>
                <w:lang w:val="en-US"/>
              </w:rPr>
              <w:t>Figure S</w:t>
            </w:r>
            <w:r>
              <w:rPr>
                <w:rFonts w:ascii="Arial" w:hAnsi="Arial" w:cs="Arial"/>
                <w:b/>
                <w:bCs/>
                <w:sz w:val="20"/>
                <w:szCs w:val="20"/>
                <w:lang w:val="en-US"/>
              </w:rPr>
              <w:t>12</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w:t>
            </w:r>
            <w:r w:rsidR="000E4363">
              <w:rPr>
                <w:rFonts w:ascii="Arial" w:hAnsi="Arial" w:cs="Arial"/>
                <w:sz w:val="20"/>
                <w:szCs w:val="20"/>
                <w:lang w:val="en-US"/>
              </w:rPr>
              <w:t xml:space="preserve">and temporal trends </w:t>
            </w:r>
            <w:r w:rsidRPr="0057197B">
              <w:rPr>
                <w:rFonts w:ascii="Arial" w:hAnsi="Arial" w:cs="Arial"/>
                <w:sz w:val="20"/>
                <w:szCs w:val="20"/>
                <w:lang w:val="en-US"/>
              </w:rPr>
              <w:t xml:space="preserve">of median </w:t>
            </w:r>
            <w:r>
              <w:rPr>
                <w:rFonts w:ascii="Arial" w:hAnsi="Arial" w:cs="Arial"/>
                <w:sz w:val="20"/>
                <w:szCs w:val="20"/>
                <w:lang w:val="en-US"/>
              </w:rPr>
              <w:t>iPCBs</w:t>
            </w:r>
            <w:r w:rsidRPr="0057197B">
              <w:rPr>
                <w:rFonts w:ascii="Arial" w:hAnsi="Arial" w:cs="Arial"/>
                <w:sz w:val="20"/>
                <w:szCs w:val="20"/>
                <w:lang w:val="en-US"/>
              </w:rPr>
              <w:t xml:space="preserve"> concentrations</w:t>
            </w:r>
            <w:r w:rsidR="000E4363">
              <w:rPr>
                <w:rFonts w:ascii="Arial" w:hAnsi="Arial" w:cs="Arial"/>
                <w:sz w:val="20"/>
                <w:szCs w:val="20"/>
                <w:lang w:val="en-US"/>
              </w:rPr>
              <w:t xml:space="preserve"> ………………..</w:t>
            </w:r>
            <w:r w:rsidR="007D239D">
              <w:rPr>
                <w:rFonts w:ascii="Arial" w:hAnsi="Arial" w:cs="Arial"/>
                <w:sz w:val="20"/>
                <w:szCs w:val="20"/>
                <w:lang w:val="en-US"/>
              </w:rPr>
              <w:t>.</w:t>
            </w:r>
          </w:p>
        </w:tc>
        <w:tc>
          <w:tcPr>
            <w:tcW w:w="425" w:type="dxa"/>
            <w:vAlign w:val="bottom"/>
          </w:tcPr>
          <w:p w14:paraId="778F6E77" w14:textId="70A2F719"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4</w:t>
            </w:r>
          </w:p>
        </w:tc>
      </w:tr>
      <w:tr w:rsidR="00DC21C6" w:rsidRPr="00DC21C6" w14:paraId="18817E2B" w14:textId="77777777" w:rsidTr="007D239D">
        <w:tc>
          <w:tcPr>
            <w:tcW w:w="9209" w:type="dxa"/>
            <w:vAlign w:val="bottom"/>
          </w:tcPr>
          <w:p w14:paraId="1569E76C" w14:textId="5F7CCB14" w:rsidR="00DC21C6" w:rsidRPr="0057197B" w:rsidRDefault="00DC21C6" w:rsidP="007D239D">
            <w:pPr>
              <w:spacing w:after="80"/>
              <w:ind w:left="1134" w:hanging="1134"/>
              <w:rPr>
                <w:rFonts w:ascii="Arial" w:hAnsi="Arial" w:cs="Arial"/>
                <w:b/>
                <w:bCs/>
                <w:sz w:val="20"/>
                <w:szCs w:val="20"/>
                <w:lang w:val="en-US"/>
              </w:rPr>
            </w:pPr>
            <w:r w:rsidRPr="00EF4CA9">
              <w:rPr>
                <w:rFonts w:ascii="Arial" w:hAnsi="Arial" w:cs="Arial"/>
                <w:b/>
                <w:bCs/>
                <w:sz w:val="20"/>
                <w:szCs w:val="20"/>
                <w:lang w:val="en-US"/>
              </w:rPr>
              <w:t>Figure S13.</w:t>
            </w:r>
            <w:r w:rsidRPr="00EF4CA9">
              <w:rPr>
                <w:rFonts w:ascii="Arial" w:hAnsi="Arial" w:cs="Arial"/>
                <w:sz w:val="20"/>
                <w:szCs w:val="20"/>
                <w:lang w:val="en-US"/>
              </w:rPr>
              <w:t xml:space="preserve"> Atmospheric median concentrations obtained for </w:t>
            </w:r>
            <w:r w:rsidR="000E4363">
              <w:rPr>
                <w:rFonts w:ascii="Arial" w:hAnsi="Arial" w:cs="Arial"/>
                <w:sz w:val="20"/>
                <w:szCs w:val="20"/>
                <w:lang w:val="en-US"/>
              </w:rPr>
              <w:t>i</w:t>
            </w:r>
            <w:r w:rsidRPr="00EF4CA9">
              <w:rPr>
                <w:rFonts w:ascii="Arial" w:hAnsi="Arial" w:cs="Arial"/>
                <w:sz w:val="20"/>
                <w:szCs w:val="20"/>
                <w:lang w:val="en-US"/>
              </w:rPr>
              <w:t>PCB</w:t>
            </w:r>
            <w:r w:rsidR="000E4363">
              <w:rPr>
                <w:rFonts w:ascii="Arial" w:hAnsi="Arial" w:cs="Arial"/>
                <w:sz w:val="20"/>
                <w:szCs w:val="20"/>
                <w:lang w:val="en-US"/>
              </w:rPr>
              <w:t>s</w:t>
            </w:r>
            <w:r w:rsidRPr="00EF4CA9">
              <w:rPr>
                <w:rFonts w:ascii="Arial" w:hAnsi="Arial" w:cs="Arial"/>
                <w:sz w:val="20"/>
                <w:szCs w:val="20"/>
                <w:lang w:val="en-US"/>
              </w:rPr>
              <w:t xml:space="preserve"> </w:t>
            </w:r>
            <w:r>
              <w:rPr>
                <w:rFonts w:ascii="Arial" w:hAnsi="Arial" w:cs="Arial"/>
                <w:sz w:val="20"/>
                <w:szCs w:val="20"/>
                <w:lang w:val="en-US"/>
              </w:rPr>
              <w:t>at</w:t>
            </w:r>
            <w:r w:rsidRPr="00EF4CA9">
              <w:rPr>
                <w:rFonts w:ascii="Arial" w:hAnsi="Arial" w:cs="Arial"/>
                <w:sz w:val="20"/>
                <w:szCs w:val="20"/>
                <w:lang w:val="en-US"/>
              </w:rPr>
              <w:t xml:space="preserve"> representative monitoring stations</w:t>
            </w:r>
            <w:r>
              <w:rPr>
                <w:rFonts w:ascii="Arial" w:hAnsi="Arial" w:cs="Arial"/>
                <w:sz w:val="20"/>
                <w:szCs w:val="20"/>
                <w:lang w:val="en-US"/>
              </w:rPr>
              <w:t xml:space="preserve"> …………………………………</w:t>
            </w:r>
            <w:r w:rsidR="000E4363">
              <w:rPr>
                <w:rFonts w:ascii="Arial" w:hAnsi="Arial" w:cs="Arial"/>
                <w:sz w:val="20"/>
                <w:szCs w:val="20"/>
                <w:lang w:val="en-US"/>
              </w:rPr>
              <w:t>………………………………</w:t>
            </w:r>
            <w:r>
              <w:rPr>
                <w:rFonts w:ascii="Arial" w:hAnsi="Arial" w:cs="Arial"/>
                <w:sz w:val="20"/>
                <w:szCs w:val="20"/>
                <w:lang w:val="en-US"/>
              </w:rPr>
              <w:t>…………………</w:t>
            </w:r>
            <w:r w:rsidR="00EE2DC2">
              <w:rPr>
                <w:rFonts w:ascii="Arial" w:hAnsi="Arial" w:cs="Arial"/>
                <w:sz w:val="20"/>
                <w:szCs w:val="20"/>
                <w:lang w:val="en-US"/>
              </w:rPr>
              <w:t>……</w:t>
            </w:r>
            <w:proofErr w:type="gramStart"/>
            <w:r w:rsidR="004A129C">
              <w:rPr>
                <w:rFonts w:ascii="Arial" w:hAnsi="Arial" w:cs="Arial"/>
                <w:sz w:val="20"/>
                <w:szCs w:val="20"/>
                <w:lang w:val="en-US"/>
              </w:rPr>
              <w:t>..</w:t>
            </w:r>
            <w:r w:rsidR="007D239D">
              <w:rPr>
                <w:rFonts w:ascii="Arial" w:hAnsi="Arial" w:cs="Arial"/>
                <w:sz w:val="20"/>
                <w:szCs w:val="20"/>
                <w:lang w:val="en-US"/>
              </w:rPr>
              <w:t>...</w:t>
            </w:r>
            <w:proofErr w:type="gramEnd"/>
          </w:p>
        </w:tc>
        <w:tc>
          <w:tcPr>
            <w:tcW w:w="425" w:type="dxa"/>
            <w:vAlign w:val="bottom"/>
          </w:tcPr>
          <w:p w14:paraId="1ADFD881" w14:textId="713009CE"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5</w:t>
            </w:r>
          </w:p>
        </w:tc>
      </w:tr>
      <w:tr w:rsidR="00DC21C6" w:rsidRPr="00DC21C6" w14:paraId="07177B69" w14:textId="77777777" w:rsidTr="007D239D">
        <w:tc>
          <w:tcPr>
            <w:tcW w:w="9209" w:type="dxa"/>
            <w:vAlign w:val="bottom"/>
          </w:tcPr>
          <w:p w14:paraId="589E3C01" w14:textId="2CF42937" w:rsidR="00DC21C6" w:rsidRPr="00EF4CA9" w:rsidRDefault="00DC21C6" w:rsidP="007D239D">
            <w:pPr>
              <w:spacing w:after="80"/>
              <w:ind w:left="1134" w:hanging="1134"/>
              <w:rPr>
                <w:rFonts w:ascii="Arial" w:hAnsi="Arial" w:cs="Arial"/>
                <w:b/>
                <w:bCs/>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14</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Pr="00164BFE">
              <w:rPr>
                <w:rFonts w:ascii="Arial" w:eastAsia="Times New Roman" w:hAnsi="Arial" w:cs="Arial"/>
                <w:sz w:val="20"/>
                <w:szCs w:val="20"/>
                <w:lang w:val="en-US"/>
              </w:rPr>
              <w:t xml:space="preserve">Raincloud plots of </w:t>
            </w:r>
            <w:r>
              <w:rPr>
                <w:rFonts w:ascii="Arial" w:eastAsia="Times New Roman" w:hAnsi="Arial" w:cs="Arial"/>
                <w:sz w:val="20"/>
                <w:szCs w:val="20"/>
                <w:lang w:val="en-US"/>
              </w:rPr>
              <w:t>∑PBDEwo209 and ∑PBDEs</w:t>
            </w:r>
            <w:r w:rsidRPr="00164BFE">
              <w:rPr>
                <w:rFonts w:ascii="Arial" w:eastAsia="Times New Roman" w:hAnsi="Arial" w:cs="Arial"/>
                <w:sz w:val="20"/>
                <w:szCs w:val="20"/>
                <w:lang w:val="en-US"/>
              </w:rPr>
              <w:t xml:space="preserve"> atmospheric concentrations across the SMN</w:t>
            </w:r>
            <w:r>
              <w:rPr>
                <w:rFonts w:ascii="Arial" w:eastAsia="Times New Roman" w:hAnsi="Arial" w:cs="Arial"/>
                <w:sz w:val="20"/>
                <w:szCs w:val="20"/>
                <w:lang w:val="en-US"/>
              </w:rPr>
              <w:t xml:space="preserve"> …………</w:t>
            </w:r>
            <w:r w:rsidR="00EE2DC2">
              <w:rPr>
                <w:rFonts w:ascii="Arial" w:eastAsia="Times New Roman" w:hAnsi="Arial" w:cs="Arial"/>
                <w:sz w:val="20"/>
                <w:szCs w:val="20"/>
                <w:lang w:val="en-US"/>
              </w:rPr>
              <w:t>…</w:t>
            </w:r>
            <w:r>
              <w:rPr>
                <w:rFonts w:ascii="Arial" w:eastAsia="Times New Roman" w:hAnsi="Arial" w:cs="Arial"/>
                <w:sz w:val="20"/>
                <w:szCs w:val="20"/>
                <w:lang w:val="en-US"/>
              </w:rPr>
              <w:t>…………………………………….…………</w:t>
            </w:r>
            <w:r w:rsidR="00EE2DC2">
              <w:rPr>
                <w:rFonts w:ascii="Arial" w:eastAsia="Times New Roman" w:hAnsi="Arial" w:cs="Arial"/>
                <w:sz w:val="20"/>
                <w:szCs w:val="20"/>
                <w:lang w:val="en-US"/>
              </w:rPr>
              <w:t>…………………...</w:t>
            </w:r>
            <w:r w:rsidR="000E4363">
              <w:rPr>
                <w:rFonts w:ascii="Arial" w:eastAsia="Times New Roman" w:hAnsi="Arial" w:cs="Arial"/>
                <w:sz w:val="20"/>
                <w:szCs w:val="20"/>
                <w:lang w:val="en-US"/>
              </w:rPr>
              <w:t>...................</w:t>
            </w:r>
            <w:r w:rsidR="007D239D">
              <w:rPr>
                <w:rFonts w:ascii="Arial" w:eastAsia="Times New Roman" w:hAnsi="Arial" w:cs="Arial"/>
                <w:sz w:val="20"/>
                <w:szCs w:val="20"/>
                <w:lang w:val="en-US"/>
              </w:rPr>
              <w:t>.</w:t>
            </w:r>
          </w:p>
        </w:tc>
        <w:tc>
          <w:tcPr>
            <w:tcW w:w="425" w:type="dxa"/>
            <w:vAlign w:val="bottom"/>
          </w:tcPr>
          <w:p w14:paraId="4970CA8E" w14:textId="07665CFA"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6</w:t>
            </w:r>
          </w:p>
        </w:tc>
      </w:tr>
      <w:tr w:rsidR="00DC21C6" w:rsidRPr="00DC21C6" w14:paraId="70FCB5EC" w14:textId="77777777" w:rsidTr="007D239D">
        <w:tc>
          <w:tcPr>
            <w:tcW w:w="9209" w:type="dxa"/>
            <w:vAlign w:val="bottom"/>
          </w:tcPr>
          <w:p w14:paraId="66416F08" w14:textId="259D02D8" w:rsidR="00DC21C6" w:rsidRPr="00EF4CA9" w:rsidRDefault="00DC21C6" w:rsidP="007D239D">
            <w:pPr>
              <w:spacing w:after="80"/>
              <w:ind w:left="1134" w:hanging="1134"/>
              <w:rPr>
                <w:rFonts w:ascii="Arial" w:hAnsi="Arial" w:cs="Arial"/>
                <w:b/>
                <w:bCs/>
                <w:sz w:val="20"/>
                <w:szCs w:val="20"/>
                <w:lang w:val="en-US"/>
              </w:rPr>
            </w:pPr>
            <w:r w:rsidRPr="0057197B">
              <w:rPr>
                <w:rFonts w:ascii="Arial" w:hAnsi="Arial" w:cs="Arial"/>
                <w:b/>
                <w:bCs/>
                <w:sz w:val="20"/>
                <w:szCs w:val="20"/>
                <w:lang w:val="en-US"/>
              </w:rPr>
              <w:t>Figure S</w:t>
            </w:r>
            <w:r>
              <w:rPr>
                <w:rFonts w:ascii="Arial" w:hAnsi="Arial" w:cs="Arial"/>
                <w:b/>
                <w:bCs/>
                <w:sz w:val="20"/>
                <w:szCs w:val="20"/>
                <w:lang w:val="en-US"/>
              </w:rPr>
              <w:t>15</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w:t>
            </w:r>
            <w:r w:rsidR="000E4363">
              <w:rPr>
                <w:rFonts w:ascii="Arial" w:hAnsi="Arial" w:cs="Arial"/>
                <w:sz w:val="20"/>
                <w:szCs w:val="20"/>
                <w:lang w:val="en-US"/>
              </w:rPr>
              <w:t xml:space="preserve">and temporal trends </w:t>
            </w:r>
            <w:r w:rsidRPr="0057197B">
              <w:rPr>
                <w:rFonts w:ascii="Arial" w:hAnsi="Arial" w:cs="Arial"/>
                <w:sz w:val="20"/>
                <w:szCs w:val="20"/>
                <w:lang w:val="en-US"/>
              </w:rPr>
              <w:t xml:space="preserve">of median </w:t>
            </w:r>
            <w:r>
              <w:rPr>
                <w:rFonts w:ascii="Arial" w:eastAsia="Times New Roman" w:hAnsi="Arial" w:cs="Arial"/>
                <w:sz w:val="20"/>
                <w:szCs w:val="20"/>
                <w:lang w:val="en-US"/>
              </w:rPr>
              <w:t>∑PBDEwo209 and ∑PBDEs</w:t>
            </w:r>
            <w:r w:rsidRPr="00164BFE">
              <w:rPr>
                <w:rFonts w:ascii="Arial" w:eastAsia="Times New Roman" w:hAnsi="Arial" w:cs="Arial"/>
                <w:sz w:val="20"/>
                <w:szCs w:val="20"/>
                <w:lang w:val="en-US"/>
              </w:rPr>
              <w:t xml:space="preserve"> </w:t>
            </w:r>
            <w:r w:rsidRPr="0057197B">
              <w:rPr>
                <w:rFonts w:ascii="Arial" w:hAnsi="Arial" w:cs="Arial"/>
                <w:sz w:val="20"/>
                <w:szCs w:val="20"/>
                <w:lang w:val="en-US"/>
              </w:rPr>
              <w:t xml:space="preserve">concentrations </w:t>
            </w:r>
            <w:r w:rsidR="000E4363">
              <w:rPr>
                <w:rFonts w:ascii="Arial" w:hAnsi="Arial" w:cs="Arial"/>
                <w:sz w:val="20"/>
                <w:szCs w:val="20"/>
                <w:lang w:val="en-US"/>
              </w:rPr>
              <w:t>…………………………………………………………………</w:t>
            </w:r>
            <w:r w:rsidR="00EE2DC2">
              <w:rPr>
                <w:rFonts w:ascii="Arial" w:hAnsi="Arial" w:cs="Arial"/>
                <w:sz w:val="20"/>
                <w:szCs w:val="20"/>
                <w:lang w:val="en-US"/>
              </w:rPr>
              <w:t>………………</w:t>
            </w:r>
            <w:r w:rsidR="007D239D">
              <w:rPr>
                <w:rFonts w:ascii="Arial" w:hAnsi="Arial" w:cs="Arial"/>
                <w:sz w:val="20"/>
                <w:szCs w:val="20"/>
                <w:lang w:val="en-US"/>
              </w:rPr>
              <w:t>….</w:t>
            </w:r>
          </w:p>
        </w:tc>
        <w:tc>
          <w:tcPr>
            <w:tcW w:w="425" w:type="dxa"/>
            <w:vAlign w:val="bottom"/>
          </w:tcPr>
          <w:p w14:paraId="774D7133" w14:textId="71CF6AB0"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7</w:t>
            </w:r>
          </w:p>
        </w:tc>
      </w:tr>
      <w:tr w:rsidR="00DC21C6" w:rsidRPr="00DC21C6" w14:paraId="323D5D33" w14:textId="77777777" w:rsidTr="007D239D">
        <w:tc>
          <w:tcPr>
            <w:tcW w:w="9209" w:type="dxa"/>
            <w:vAlign w:val="bottom"/>
          </w:tcPr>
          <w:p w14:paraId="5E12A15E" w14:textId="1CB8C1A5" w:rsidR="00DC21C6" w:rsidRPr="00EF4CA9" w:rsidRDefault="00DC21C6" w:rsidP="007D239D">
            <w:pPr>
              <w:spacing w:after="80"/>
              <w:ind w:left="1134" w:hanging="1134"/>
              <w:rPr>
                <w:rFonts w:ascii="Arial" w:hAnsi="Arial" w:cs="Arial"/>
                <w:b/>
                <w:bCs/>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16</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Pr="00EF4CA9">
              <w:rPr>
                <w:rFonts w:ascii="Arial" w:hAnsi="Arial" w:cs="Arial"/>
                <w:sz w:val="20"/>
                <w:szCs w:val="20"/>
                <w:lang w:val="en-US"/>
              </w:rPr>
              <w:t>Atmospheric median concentrations obtained for PBDEs at representative monitoring stations</w:t>
            </w:r>
            <w:r w:rsidR="000E4363">
              <w:rPr>
                <w:rFonts w:ascii="Arial" w:hAnsi="Arial" w:cs="Arial"/>
                <w:sz w:val="20"/>
                <w:szCs w:val="20"/>
                <w:lang w:val="en-US"/>
              </w:rPr>
              <w:t xml:space="preserve"> </w:t>
            </w:r>
            <w:r>
              <w:rPr>
                <w:rFonts w:ascii="Arial" w:hAnsi="Arial" w:cs="Arial"/>
                <w:sz w:val="20"/>
                <w:szCs w:val="20"/>
                <w:lang w:val="en-US"/>
              </w:rPr>
              <w:t>…</w:t>
            </w:r>
            <w:r w:rsidR="000E4363">
              <w:rPr>
                <w:rFonts w:ascii="Arial" w:hAnsi="Arial" w:cs="Arial"/>
                <w:sz w:val="20"/>
                <w:szCs w:val="20"/>
                <w:lang w:val="en-US"/>
              </w:rPr>
              <w:t>……………</w:t>
            </w:r>
            <w:r>
              <w:rPr>
                <w:rFonts w:ascii="Arial" w:hAnsi="Arial" w:cs="Arial"/>
                <w:sz w:val="20"/>
                <w:szCs w:val="20"/>
                <w:lang w:val="en-US"/>
              </w:rPr>
              <w:t>…………………………………………………………………</w:t>
            </w:r>
            <w:r w:rsidR="00EE2DC2">
              <w:rPr>
                <w:rFonts w:ascii="Arial" w:hAnsi="Arial" w:cs="Arial"/>
                <w:sz w:val="20"/>
                <w:szCs w:val="20"/>
                <w:lang w:val="en-US"/>
              </w:rPr>
              <w:t>………</w:t>
            </w:r>
            <w:r w:rsidR="004A129C">
              <w:rPr>
                <w:rFonts w:ascii="Arial" w:hAnsi="Arial" w:cs="Arial"/>
                <w:sz w:val="20"/>
                <w:szCs w:val="20"/>
                <w:lang w:val="en-US"/>
              </w:rPr>
              <w:t>….</w:t>
            </w:r>
          </w:p>
        </w:tc>
        <w:tc>
          <w:tcPr>
            <w:tcW w:w="425" w:type="dxa"/>
            <w:vAlign w:val="bottom"/>
          </w:tcPr>
          <w:p w14:paraId="0BC57C47" w14:textId="607AB654" w:rsidR="00DC21C6" w:rsidRPr="00DC21C6" w:rsidRDefault="00EE2DC2" w:rsidP="007D239D">
            <w:pPr>
              <w:rPr>
                <w:rFonts w:ascii="Arial" w:hAnsi="Arial" w:cs="Arial"/>
                <w:sz w:val="20"/>
                <w:szCs w:val="20"/>
                <w:lang w:val="en-AE"/>
              </w:rPr>
            </w:pPr>
            <w:r>
              <w:rPr>
                <w:rFonts w:ascii="Arial" w:hAnsi="Arial" w:cs="Arial"/>
                <w:sz w:val="20"/>
                <w:szCs w:val="20"/>
                <w:lang w:val="en-AE"/>
              </w:rPr>
              <w:t>1</w:t>
            </w:r>
            <w:r w:rsidR="008A34A2">
              <w:rPr>
                <w:rFonts w:ascii="Arial" w:hAnsi="Arial" w:cs="Arial"/>
                <w:sz w:val="20"/>
                <w:szCs w:val="20"/>
                <w:lang w:val="en-AE"/>
              </w:rPr>
              <w:t>8</w:t>
            </w:r>
          </w:p>
        </w:tc>
      </w:tr>
      <w:tr w:rsidR="00DC21C6" w:rsidRPr="00DC21C6" w14:paraId="0AA25C77" w14:textId="77777777" w:rsidTr="007D239D">
        <w:tc>
          <w:tcPr>
            <w:tcW w:w="9209" w:type="dxa"/>
            <w:vAlign w:val="bottom"/>
          </w:tcPr>
          <w:p w14:paraId="49A7B386" w14:textId="4625D15F" w:rsidR="00DC21C6" w:rsidRPr="00EF4CA9" w:rsidRDefault="00DC21C6" w:rsidP="007D239D">
            <w:pPr>
              <w:spacing w:after="80"/>
              <w:ind w:left="1134" w:hanging="1134"/>
              <w:rPr>
                <w:rFonts w:ascii="Arial" w:hAnsi="Arial" w:cs="Arial"/>
                <w:b/>
                <w:bCs/>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17</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Pr="00DC21C6">
              <w:rPr>
                <w:rFonts w:ascii="Arial" w:eastAsia="Times New Roman" w:hAnsi="Arial" w:cs="Arial"/>
                <w:sz w:val="20"/>
                <w:szCs w:val="20"/>
                <w:lang w:val="en-US"/>
              </w:rPr>
              <w:t>Spearman rank correlation matrix of POP atmospheric concentrations in each location</w:t>
            </w:r>
            <w:r w:rsidR="007D239D">
              <w:rPr>
                <w:rFonts w:ascii="Arial" w:eastAsia="Times New Roman" w:hAnsi="Arial" w:cs="Arial"/>
                <w:sz w:val="20"/>
                <w:szCs w:val="20"/>
                <w:lang w:val="en-US"/>
              </w:rPr>
              <w:t>…</w:t>
            </w:r>
          </w:p>
        </w:tc>
        <w:tc>
          <w:tcPr>
            <w:tcW w:w="425" w:type="dxa"/>
          </w:tcPr>
          <w:p w14:paraId="419EF824" w14:textId="320EEE8E" w:rsidR="00DC21C6" w:rsidRPr="00DC21C6" w:rsidRDefault="00EE2DC2" w:rsidP="00EE2DC2">
            <w:pPr>
              <w:rPr>
                <w:rFonts w:ascii="Arial" w:hAnsi="Arial" w:cs="Arial"/>
                <w:sz w:val="20"/>
                <w:szCs w:val="20"/>
                <w:lang w:val="en-AE"/>
              </w:rPr>
            </w:pPr>
            <w:r>
              <w:rPr>
                <w:rFonts w:ascii="Arial" w:hAnsi="Arial" w:cs="Arial"/>
                <w:sz w:val="20"/>
                <w:szCs w:val="20"/>
                <w:lang w:val="en-AE"/>
              </w:rPr>
              <w:t>19</w:t>
            </w:r>
          </w:p>
        </w:tc>
      </w:tr>
      <w:tr w:rsidR="00DC21C6" w:rsidRPr="00DC21C6" w14:paraId="19C457B8" w14:textId="77777777" w:rsidTr="007D239D">
        <w:tc>
          <w:tcPr>
            <w:tcW w:w="9209" w:type="dxa"/>
            <w:vAlign w:val="bottom"/>
          </w:tcPr>
          <w:p w14:paraId="7B00B531" w14:textId="123A637C" w:rsidR="00DC21C6" w:rsidRPr="00EF4CA9" w:rsidRDefault="00DC21C6" w:rsidP="007D239D">
            <w:pPr>
              <w:spacing w:after="80"/>
              <w:ind w:left="1134" w:hanging="1134"/>
              <w:rPr>
                <w:rFonts w:ascii="Arial" w:hAnsi="Arial" w:cs="Arial"/>
                <w:b/>
                <w:bCs/>
                <w:sz w:val="20"/>
                <w:szCs w:val="20"/>
                <w:lang w:val="en-US"/>
              </w:rPr>
            </w:pPr>
            <w:r>
              <w:rPr>
                <w:rFonts w:ascii="Arial" w:eastAsia="Times New Roman" w:hAnsi="Arial" w:cs="Arial"/>
                <w:b/>
                <w:bCs/>
                <w:sz w:val="20"/>
                <w:szCs w:val="20"/>
                <w:lang w:val="en-US"/>
              </w:rPr>
              <w:t xml:space="preserve">References </w:t>
            </w:r>
            <w:r>
              <w:rPr>
                <w:rFonts w:ascii="Arial" w:eastAsia="Times New Roman" w:hAnsi="Arial" w:cs="Arial"/>
                <w:sz w:val="20"/>
                <w:szCs w:val="20"/>
                <w:lang w:val="en-US"/>
              </w:rPr>
              <w:t>………</w:t>
            </w:r>
            <w:proofErr w:type="gramStart"/>
            <w:r>
              <w:rPr>
                <w:rFonts w:ascii="Arial" w:eastAsia="Times New Roman" w:hAnsi="Arial" w:cs="Arial"/>
                <w:sz w:val="20"/>
                <w:szCs w:val="20"/>
                <w:lang w:val="en-US"/>
              </w:rPr>
              <w:t>…..</w:t>
            </w:r>
            <w:proofErr w:type="gramEnd"/>
            <w:r>
              <w:rPr>
                <w:rFonts w:ascii="Arial" w:eastAsia="Times New Roman" w:hAnsi="Arial" w:cs="Arial"/>
                <w:sz w:val="20"/>
                <w:szCs w:val="20"/>
                <w:lang w:val="en-US"/>
              </w:rPr>
              <w:t>…………………………………………………………………………………</w:t>
            </w:r>
            <w:r w:rsidR="00EE2DC2">
              <w:rPr>
                <w:rFonts w:ascii="Arial" w:eastAsia="Times New Roman" w:hAnsi="Arial" w:cs="Arial"/>
                <w:sz w:val="20"/>
                <w:szCs w:val="20"/>
                <w:lang w:val="en-US"/>
              </w:rPr>
              <w:t>……</w:t>
            </w:r>
            <w:r w:rsidR="007D239D">
              <w:rPr>
                <w:rFonts w:ascii="Arial" w:eastAsia="Times New Roman" w:hAnsi="Arial" w:cs="Arial"/>
                <w:sz w:val="20"/>
                <w:szCs w:val="20"/>
                <w:lang w:val="en-US"/>
              </w:rPr>
              <w:t>..</w:t>
            </w:r>
            <w:r w:rsidR="00EE2DC2">
              <w:rPr>
                <w:rFonts w:ascii="Arial" w:eastAsia="Times New Roman" w:hAnsi="Arial" w:cs="Arial"/>
                <w:sz w:val="20"/>
                <w:szCs w:val="20"/>
                <w:lang w:val="en-US"/>
              </w:rPr>
              <w:t>...</w:t>
            </w:r>
          </w:p>
        </w:tc>
        <w:tc>
          <w:tcPr>
            <w:tcW w:w="425" w:type="dxa"/>
          </w:tcPr>
          <w:p w14:paraId="653412DB" w14:textId="200CCCD6" w:rsidR="00DC21C6" w:rsidRPr="00DC21C6" w:rsidRDefault="008A34A2" w:rsidP="00EE2DC2">
            <w:pPr>
              <w:rPr>
                <w:rFonts w:ascii="Arial" w:hAnsi="Arial" w:cs="Arial"/>
                <w:sz w:val="20"/>
                <w:szCs w:val="20"/>
                <w:lang w:val="en-AE"/>
              </w:rPr>
            </w:pPr>
            <w:r>
              <w:rPr>
                <w:rFonts w:ascii="Arial" w:hAnsi="Arial" w:cs="Arial"/>
                <w:sz w:val="20"/>
                <w:szCs w:val="20"/>
                <w:lang w:val="en-AE"/>
              </w:rPr>
              <w:t>30</w:t>
            </w:r>
          </w:p>
        </w:tc>
      </w:tr>
    </w:tbl>
    <w:p w14:paraId="7D281402" w14:textId="599A1E83" w:rsidR="004A129C" w:rsidRDefault="004A129C" w:rsidP="004A129C">
      <w:pPr>
        <w:pStyle w:val="Ttulo1"/>
        <w:numPr>
          <w:ilvl w:val="0"/>
          <w:numId w:val="0"/>
        </w:numPr>
        <w:ind w:left="142"/>
      </w:pPr>
      <w:bookmarkStart w:id="2" w:name="_Toc226564331"/>
    </w:p>
    <w:p w14:paraId="08917237" w14:textId="77777777" w:rsidR="004A129C" w:rsidRPr="004A129C" w:rsidRDefault="004A129C" w:rsidP="004A129C"/>
    <w:p w14:paraId="11D177DE" w14:textId="0D792FB6" w:rsidR="005568C8" w:rsidRPr="0057197B" w:rsidRDefault="00384EF4" w:rsidP="004A129C">
      <w:pPr>
        <w:pStyle w:val="Ttulo1"/>
        <w:numPr>
          <w:ilvl w:val="0"/>
          <w:numId w:val="0"/>
        </w:numPr>
        <w:ind w:left="142"/>
        <w:rPr>
          <w:rFonts w:eastAsia="Times New Roman"/>
          <w:b w:val="0"/>
          <w:lang w:val="en-US"/>
        </w:rPr>
      </w:pPr>
      <w:r w:rsidRPr="004A129C">
        <w:rPr>
          <w:lang w:val="en-US"/>
        </w:rPr>
        <w:lastRenderedPageBreak/>
        <w:t>Text</w:t>
      </w:r>
      <w:r w:rsidRPr="0057197B">
        <w:rPr>
          <w:rFonts w:eastAsia="Times New Roman"/>
          <w:lang w:val="en-US"/>
        </w:rPr>
        <w:t xml:space="preserve"> 1</w:t>
      </w:r>
      <w:r w:rsidR="00BE0AA4" w:rsidRPr="0057197B">
        <w:rPr>
          <w:rFonts w:eastAsia="Times New Roman"/>
          <w:lang w:val="en-US"/>
        </w:rPr>
        <w:t>:</w:t>
      </w:r>
      <w:r w:rsidRPr="0057197B">
        <w:rPr>
          <w:rFonts w:eastAsia="Times New Roman"/>
          <w:lang w:val="en-US"/>
        </w:rPr>
        <w:t xml:space="preserve"> </w:t>
      </w:r>
      <w:r w:rsidRPr="004A129C">
        <w:rPr>
          <w:lang w:val="en-US"/>
        </w:rPr>
        <w:t>Materials</w:t>
      </w:r>
      <w:r w:rsidRPr="0057197B">
        <w:rPr>
          <w:rFonts w:eastAsia="Times New Roman"/>
          <w:lang w:val="en-US"/>
        </w:rPr>
        <w:t xml:space="preserve"> and </w:t>
      </w:r>
      <w:r w:rsidR="00E3435B" w:rsidRPr="0057197B">
        <w:rPr>
          <w:rFonts w:eastAsia="Times New Roman"/>
          <w:lang w:val="en-US"/>
        </w:rPr>
        <w:t>M</w:t>
      </w:r>
      <w:r w:rsidRPr="0057197B">
        <w:rPr>
          <w:rFonts w:eastAsia="Times New Roman"/>
          <w:lang w:val="en-US"/>
        </w:rPr>
        <w:t>ethods</w:t>
      </w:r>
      <w:bookmarkEnd w:id="2"/>
    </w:p>
    <w:p w14:paraId="2F7BF635" w14:textId="77777777" w:rsidR="00E528A4" w:rsidRDefault="00E528A4" w:rsidP="00DF65A7">
      <w:pPr>
        <w:jc w:val="both"/>
        <w:rPr>
          <w:rFonts w:ascii="Arial" w:hAnsi="Arial" w:cs="Arial"/>
          <w:b/>
          <w:bCs/>
          <w:sz w:val="20"/>
          <w:szCs w:val="20"/>
          <w:lang w:val="en-US"/>
        </w:rPr>
      </w:pPr>
    </w:p>
    <w:p w14:paraId="66878168" w14:textId="01442CEB" w:rsidR="00384EF4" w:rsidRPr="0057197B" w:rsidRDefault="00384EF4" w:rsidP="00DF65A7">
      <w:pPr>
        <w:jc w:val="both"/>
        <w:rPr>
          <w:rFonts w:ascii="Arial" w:hAnsi="Arial" w:cs="Arial"/>
          <w:sz w:val="20"/>
          <w:szCs w:val="20"/>
          <w:lang w:val="en-US"/>
        </w:rPr>
      </w:pPr>
      <w:r w:rsidRPr="0057197B">
        <w:rPr>
          <w:rFonts w:ascii="Arial" w:hAnsi="Arial" w:cs="Arial"/>
          <w:b/>
          <w:bCs/>
          <w:sz w:val="20"/>
          <w:szCs w:val="20"/>
          <w:lang w:val="en-US"/>
        </w:rPr>
        <w:t>Chemical analysis</w:t>
      </w:r>
      <w:r w:rsidRPr="0057197B">
        <w:rPr>
          <w:rFonts w:ascii="Arial" w:hAnsi="Arial" w:cs="Arial"/>
          <w:sz w:val="20"/>
          <w:szCs w:val="20"/>
          <w:lang w:val="en-US"/>
        </w:rPr>
        <w:t>.</w:t>
      </w:r>
    </w:p>
    <w:p w14:paraId="5ED4D957" w14:textId="5EE732A0" w:rsidR="00E528A4" w:rsidRPr="00E528A4" w:rsidRDefault="00E528A4" w:rsidP="00DF65A7">
      <w:pPr>
        <w:jc w:val="both"/>
        <w:rPr>
          <w:rFonts w:ascii="Arial" w:hAnsi="Arial" w:cs="Arial"/>
          <w:sz w:val="20"/>
          <w:szCs w:val="20"/>
          <w:lang w:val="en-US"/>
        </w:rPr>
      </w:pPr>
      <w:r w:rsidRPr="00E528A4">
        <w:rPr>
          <w:rFonts w:ascii="Arial" w:hAnsi="Arial" w:cs="Arial"/>
          <w:sz w:val="20"/>
          <w:szCs w:val="20"/>
          <w:lang w:val="en-US"/>
        </w:rPr>
        <w:t xml:space="preserve">Since the inception of the Spanish Monitoring Network (SMN) in 2009, sample analysis has been distributed equally between two specialized laboratories: the Unit of Persistent Organic Pollutants and emerging contaminants in the environment </w:t>
      </w:r>
      <w:r w:rsidRPr="00100028">
        <w:rPr>
          <w:rFonts w:ascii="Arial" w:hAnsi="Arial" w:cs="Arial"/>
          <w:sz w:val="20"/>
          <w:szCs w:val="20"/>
          <w:lang w:val="en-US"/>
        </w:rPr>
        <w:t>at CIEMAT and the Department of Instrumental Analysis and Environmental Chemistry at IQOG-CSIC (Table S1). Throughout the 15-year monitoring period, both institutions have updated their analytical capabilities to</w:t>
      </w:r>
      <w:r w:rsidRPr="00E528A4">
        <w:rPr>
          <w:rFonts w:ascii="Arial" w:hAnsi="Arial" w:cs="Arial"/>
          <w:sz w:val="20"/>
          <w:szCs w:val="20"/>
          <w:lang w:val="en-US"/>
        </w:rPr>
        <w:t xml:space="preserve"> incorporate advancements in purification and instrumental determination. To ensure multi-decadal data consistency, rigorous inter-laboratory calibration exercises and validation studies were conducted prior to the implementation of any technological transition, as previously documented </w:t>
      </w:r>
      <w:sdt>
        <w:sdtPr>
          <w:rPr>
            <w:rFonts w:ascii="Arial" w:hAnsi="Arial" w:cs="Arial"/>
            <w:color w:val="000000"/>
            <w:sz w:val="20"/>
            <w:szCs w:val="20"/>
            <w:lang w:val="en-US"/>
          </w:rPr>
          <w:tag w:val="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"/>
          <w:id w:val="1501314341"/>
          <w:placeholder>
            <w:docPart w:val="DefaultPlaceholder_-1854013440"/>
          </w:placeholder>
        </w:sdtPr>
        <w:sdtEndPr/>
        <w:sdtContent>
          <w:r w:rsidR="006150C1" w:rsidRPr="006150C1">
            <w:rPr>
              <w:rFonts w:ascii="Arial" w:hAnsi="Arial" w:cs="Arial"/>
              <w:color w:val="000000"/>
              <w:sz w:val="20"/>
              <w:szCs w:val="20"/>
              <w:lang w:val="en-US"/>
            </w:rPr>
            <w:t>(De la Torre et al., 2016; Muñoz-Arnanz et al., 2016; Roscales et al., 2018)</w:t>
          </w:r>
        </w:sdtContent>
      </w:sdt>
      <w:r w:rsidRPr="00E528A4">
        <w:rPr>
          <w:rFonts w:ascii="Arial" w:hAnsi="Arial" w:cs="Arial"/>
          <w:sz w:val="20"/>
          <w:szCs w:val="20"/>
          <w:lang w:val="en-US"/>
        </w:rPr>
        <w:t>.</w:t>
      </w:r>
    </w:p>
    <w:p w14:paraId="1AB4EA8F" w14:textId="4B9E1AAE" w:rsidR="00DF65A7" w:rsidRPr="0057197B" w:rsidRDefault="00DF65A7" w:rsidP="00DF65A7">
      <w:pPr>
        <w:jc w:val="both"/>
        <w:rPr>
          <w:rFonts w:ascii="Arial" w:hAnsi="Arial" w:cs="Arial"/>
          <w:b/>
          <w:bCs/>
          <w:sz w:val="20"/>
          <w:szCs w:val="20"/>
          <w:lang w:val="en-US"/>
        </w:rPr>
      </w:pPr>
      <w:r w:rsidRPr="0057197B">
        <w:rPr>
          <w:rFonts w:ascii="Arial" w:hAnsi="Arial" w:cs="Arial"/>
          <w:b/>
          <w:bCs/>
          <w:sz w:val="20"/>
          <w:szCs w:val="20"/>
          <w:lang w:val="en-US"/>
        </w:rPr>
        <w:t>Quality assurance and quality control (QA/QC)</w:t>
      </w:r>
    </w:p>
    <w:p w14:paraId="0B1BA57C" w14:textId="23EE1262" w:rsidR="00E528A4" w:rsidRPr="00E528A4" w:rsidRDefault="00E528A4" w:rsidP="00DF65A7">
      <w:pPr>
        <w:jc w:val="both"/>
        <w:rPr>
          <w:rFonts w:ascii="Arial" w:hAnsi="Arial" w:cs="Arial"/>
          <w:sz w:val="20"/>
          <w:szCs w:val="20"/>
          <w:lang w:val="en-US"/>
        </w:rPr>
      </w:pPr>
      <w:r w:rsidRPr="00E528A4">
        <w:rPr>
          <w:rFonts w:ascii="Arial" w:hAnsi="Arial" w:cs="Arial"/>
          <w:sz w:val="20"/>
          <w:szCs w:val="20"/>
          <w:lang w:val="en-US"/>
        </w:rPr>
        <w:t>To maintain the highest data quality and inter-laboratory comparability, both laboratories adhered to identical performance criteria. Analyte identification and quantification were strictly governed by:</w:t>
      </w:r>
    </w:p>
    <w:p w14:paraId="25CB03EB" w14:textId="7C16928B" w:rsidR="00E528A4" w:rsidRPr="00E528A4" w:rsidRDefault="00E528A4" w:rsidP="00E528A4">
      <w:pPr>
        <w:pStyle w:val="NormalWeb"/>
        <w:numPr>
          <w:ilvl w:val="0"/>
          <w:numId w:val="9"/>
        </w:numPr>
        <w:rPr>
          <w:rFonts w:ascii="Arial" w:hAnsi="Arial" w:cs="Arial"/>
          <w:sz w:val="20"/>
          <w:szCs w:val="20"/>
        </w:rPr>
      </w:pPr>
      <w:r w:rsidRPr="00E528A4">
        <w:rPr>
          <w:rFonts w:ascii="Arial" w:hAnsi="Arial" w:cs="Arial"/>
          <w:sz w:val="20"/>
          <w:szCs w:val="20"/>
        </w:rPr>
        <w:t xml:space="preserve">Retention time: Agreement within </w:t>
      </w:r>
      <w:r>
        <w:rPr>
          <w:rFonts w:ascii="Arial" w:hAnsi="Arial" w:cs="Arial"/>
          <w:sz w:val="20"/>
          <w:szCs w:val="20"/>
        </w:rPr>
        <w:t>±</w:t>
      </w:r>
      <w:r w:rsidR="000415A0">
        <w:rPr>
          <w:rFonts w:ascii="Arial" w:hAnsi="Arial" w:cs="Arial"/>
          <w:sz w:val="20"/>
          <w:szCs w:val="20"/>
        </w:rPr>
        <w:t xml:space="preserve"> </w:t>
      </w:r>
      <w:r w:rsidRPr="00E528A4">
        <w:rPr>
          <w:rFonts w:ascii="Arial" w:hAnsi="Arial" w:cs="Arial"/>
          <w:sz w:val="20"/>
          <w:szCs w:val="20"/>
        </w:rPr>
        <w:t>3 seconds compared to the calibration standard.</w:t>
      </w:r>
    </w:p>
    <w:p w14:paraId="78621C85" w14:textId="0900DD94" w:rsidR="00E528A4" w:rsidRPr="00E528A4" w:rsidRDefault="00E528A4" w:rsidP="00E528A4">
      <w:pPr>
        <w:pStyle w:val="NormalWeb"/>
        <w:numPr>
          <w:ilvl w:val="0"/>
          <w:numId w:val="9"/>
        </w:numPr>
        <w:rPr>
          <w:rFonts w:ascii="Arial" w:hAnsi="Arial" w:cs="Arial"/>
          <w:sz w:val="20"/>
          <w:szCs w:val="20"/>
        </w:rPr>
      </w:pPr>
      <w:r w:rsidRPr="00E528A4">
        <w:rPr>
          <w:rFonts w:ascii="Arial" w:hAnsi="Arial" w:cs="Arial"/>
          <w:sz w:val="20"/>
          <w:szCs w:val="20"/>
        </w:rPr>
        <w:t xml:space="preserve">Isotopic ratios: Measured ion ratios within </w:t>
      </w:r>
      <w:r w:rsidR="00F2339B">
        <w:rPr>
          <w:rFonts w:ascii="Arial" w:hAnsi="Arial" w:cs="Arial"/>
          <w:sz w:val="20"/>
          <w:szCs w:val="20"/>
        </w:rPr>
        <w:t>±</w:t>
      </w:r>
      <w:r w:rsidR="000415A0">
        <w:rPr>
          <w:rFonts w:ascii="Arial" w:hAnsi="Arial" w:cs="Arial"/>
          <w:sz w:val="20"/>
          <w:szCs w:val="20"/>
        </w:rPr>
        <w:t xml:space="preserve"> </w:t>
      </w:r>
      <w:r w:rsidRPr="00E528A4">
        <w:rPr>
          <w:rFonts w:ascii="Arial" w:hAnsi="Arial" w:cs="Arial"/>
          <w:sz w:val="20"/>
          <w:szCs w:val="20"/>
        </w:rPr>
        <w:t>5% of the theoretical values.</w:t>
      </w:r>
    </w:p>
    <w:p w14:paraId="66ED0576" w14:textId="713DBA0E" w:rsidR="00E528A4" w:rsidRPr="00E528A4" w:rsidRDefault="00E528A4" w:rsidP="00E528A4">
      <w:pPr>
        <w:pStyle w:val="NormalWeb"/>
        <w:numPr>
          <w:ilvl w:val="0"/>
          <w:numId w:val="9"/>
        </w:numPr>
        <w:rPr>
          <w:rFonts w:ascii="Arial" w:hAnsi="Arial" w:cs="Arial"/>
          <w:sz w:val="20"/>
          <w:szCs w:val="20"/>
        </w:rPr>
      </w:pPr>
      <w:r w:rsidRPr="00E528A4">
        <w:rPr>
          <w:rFonts w:ascii="Arial" w:hAnsi="Arial" w:cs="Arial"/>
          <w:sz w:val="20"/>
          <w:szCs w:val="20"/>
        </w:rPr>
        <w:t xml:space="preserve">Sensitivity: A signal-to-noise (S/N) ratio </w:t>
      </w:r>
      <w:r w:rsidRPr="00E528A4">
        <w:rPr>
          <w:rStyle w:val="math-inline"/>
          <w:rFonts w:ascii="Arial" w:hAnsi="Arial" w:cs="Arial"/>
          <w:sz w:val="20"/>
          <w:szCs w:val="20"/>
        </w:rPr>
        <w:t>&gt;</w:t>
      </w:r>
      <w:r w:rsidR="000415A0">
        <w:rPr>
          <w:rStyle w:val="math-inline"/>
          <w:rFonts w:ascii="Arial" w:hAnsi="Arial" w:cs="Arial"/>
          <w:sz w:val="20"/>
          <w:szCs w:val="20"/>
        </w:rPr>
        <w:t>10</w:t>
      </w:r>
      <w:r w:rsidRPr="00E528A4">
        <w:rPr>
          <w:rStyle w:val="math-inline"/>
          <w:rFonts w:ascii="Arial" w:hAnsi="Arial" w:cs="Arial"/>
          <w:sz w:val="20"/>
          <w:szCs w:val="20"/>
        </w:rPr>
        <w:t>:1</w:t>
      </w:r>
      <w:r w:rsidRPr="00E528A4">
        <w:rPr>
          <w:rFonts w:ascii="Arial" w:hAnsi="Arial" w:cs="Arial"/>
          <w:sz w:val="20"/>
          <w:szCs w:val="20"/>
        </w:rPr>
        <w:t xml:space="preserve"> for the lowest calibration level.</w:t>
      </w:r>
    </w:p>
    <w:p w14:paraId="2DF7767B" w14:textId="7BAEC3CD" w:rsidR="00E528A4" w:rsidRPr="00E528A4" w:rsidRDefault="00E528A4" w:rsidP="00F2339B">
      <w:pPr>
        <w:pStyle w:val="NormalWeb"/>
        <w:jc w:val="both"/>
        <w:rPr>
          <w:rFonts w:ascii="Arial" w:hAnsi="Arial" w:cs="Arial"/>
          <w:sz w:val="20"/>
          <w:szCs w:val="20"/>
        </w:rPr>
      </w:pPr>
      <w:bookmarkStart w:id="3" w:name="_Hlk234232429"/>
      <w:r w:rsidRPr="00E528A4">
        <w:rPr>
          <w:rFonts w:ascii="Arial" w:hAnsi="Arial" w:cs="Arial"/>
          <w:sz w:val="20"/>
          <w:szCs w:val="20"/>
        </w:rPr>
        <w:t>Surrogate recoveries were consistently maintained between 50% and 120%, in accordance with US EPA Methods 1668C (</w:t>
      </w:r>
      <w:r w:rsidR="000415A0">
        <w:rPr>
          <w:rFonts w:ascii="Arial" w:hAnsi="Arial" w:cs="Arial"/>
          <w:sz w:val="20"/>
          <w:szCs w:val="20"/>
        </w:rPr>
        <w:t>i</w:t>
      </w:r>
      <w:r w:rsidRPr="00E528A4">
        <w:rPr>
          <w:rFonts w:ascii="Arial" w:hAnsi="Arial" w:cs="Arial"/>
          <w:sz w:val="20"/>
          <w:szCs w:val="20"/>
        </w:rPr>
        <w:t xml:space="preserve">PCBs), 1614A (PBDEs), and 8081B/8270D (OCPs). </w:t>
      </w:r>
      <w:bookmarkStart w:id="4" w:name="_Hlk234232188"/>
      <w:r w:rsidRPr="00E528A4">
        <w:rPr>
          <w:rFonts w:ascii="Arial" w:hAnsi="Arial" w:cs="Arial"/>
          <w:sz w:val="20"/>
          <w:szCs w:val="20"/>
        </w:rPr>
        <w:t>Field blanks were processed, extracted, and analyzed using the same procedure as real samples for each campaign</w:t>
      </w:r>
      <w:r w:rsidR="000415A0">
        <w:rPr>
          <w:rFonts w:ascii="Arial" w:hAnsi="Arial" w:cs="Arial"/>
          <w:sz w:val="20"/>
          <w:szCs w:val="20"/>
        </w:rPr>
        <w:t xml:space="preserve">. </w:t>
      </w:r>
      <w:bookmarkStart w:id="5" w:name="_Hlk234242604"/>
      <w:r w:rsidR="000415A0">
        <w:rPr>
          <w:rFonts w:ascii="Arial" w:hAnsi="Arial" w:cs="Arial"/>
          <w:sz w:val="20"/>
          <w:szCs w:val="20"/>
        </w:rPr>
        <w:t>B</w:t>
      </w:r>
      <w:r w:rsidRPr="00E528A4">
        <w:rPr>
          <w:rFonts w:ascii="Arial" w:hAnsi="Arial" w:cs="Arial"/>
          <w:sz w:val="20"/>
          <w:szCs w:val="20"/>
        </w:rPr>
        <w:t xml:space="preserve">lank levels remained consistently below 5% of the typical sample mass, and concentrations were blank-corrected accordingly. </w:t>
      </w:r>
      <w:r w:rsidR="000415A0">
        <w:rPr>
          <w:rFonts w:ascii="Arial" w:hAnsi="Arial" w:cs="Arial"/>
          <w:sz w:val="20"/>
          <w:szCs w:val="20"/>
        </w:rPr>
        <w:t>I</w:t>
      </w:r>
      <w:r w:rsidRPr="00E528A4">
        <w:rPr>
          <w:rFonts w:ascii="Arial" w:hAnsi="Arial" w:cs="Arial"/>
          <w:sz w:val="20"/>
          <w:szCs w:val="20"/>
        </w:rPr>
        <w:t>nstrumental blanks were analyzed to ensure the absence of carry-over effects.</w:t>
      </w:r>
    </w:p>
    <w:p w14:paraId="06BC91C2" w14:textId="7D52A8A0" w:rsidR="00384EF4" w:rsidRPr="00BB43BD" w:rsidRDefault="00BE0AA4" w:rsidP="001D4722">
      <w:pPr>
        <w:pStyle w:val="Ttulo1"/>
        <w:numPr>
          <w:ilvl w:val="0"/>
          <w:numId w:val="0"/>
        </w:numPr>
        <w:ind w:left="142"/>
        <w:rPr>
          <w:lang w:val="en-US"/>
        </w:rPr>
      </w:pPr>
      <w:bookmarkStart w:id="6" w:name="_Toc226564332"/>
      <w:bookmarkEnd w:id="3"/>
      <w:bookmarkEnd w:id="4"/>
      <w:bookmarkEnd w:id="5"/>
      <w:r w:rsidRPr="00BB43BD">
        <w:rPr>
          <w:lang w:val="en-US"/>
        </w:rPr>
        <w:t xml:space="preserve">Text 2: </w:t>
      </w:r>
      <w:r w:rsidR="00384EF4" w:rsidRPr="00BB43BD">
        <w:rPr>
          <w:lang w:val="en-US"/>
        </w:rPr>
        <w:t>Statistical Analysis and Data Processing</w:t>
      </w:r>
      <w:bookmarkEnd w:id="6"/>
    </w:p>
    <w:p w14:paraId="2BF0463C" w14:textId="5A81CD83" w:rsidR="005568C8" w:rsidRPr="0057197B" w:rsidRDefault="005568C8" w:rsidP="00C239EA">
      <w:pPr>
        <w:spacing w:before="100" w:beforeAutospacing="1" w:after="100" w:afterAutospacing="1" w:line="240" w:lineRule="auto"/>
        <w:jc w:val="both"/>
        <w:rPr>
          <w:rFonts w:ascii="Arial" w:eastAsia="Times New Roman" w:hAnsi="Arial" w:cs="Arial"/>
          <w:sz w:val="20"/>
          <w:szCs w:val="20"/>
          <w:lang w:val="en-US"/>
        </w:rPr>
      </w:pPr>
      <w:r w:rsidRPr="0057197B">
        <w:rPr>
          <w:rFonts w:ascii="Arial" w:eastAsia="Times New Roman" w:hAnsi="Arial" w:cs="Arial"/>
          <w:sz w:val="20"/>
          <w:szCs w:val="20"/>
          <w:lang w:val="en-US"/>
        </w:rPr>
        <w:t>Data visualization and statistical analyses were performed using R software (version 4.5.2)</w:t>
      </w:r>
      <w:r w:rsidR="00C239EA">
        <w:rPr>
          <w:rFonts w:ascii="Arial" w:eastAsia="Times New Roman" w:hAnsi="Arial" w:cs="Arial"/>
          <w:sz w:val="20"/>
          <w:szCs w:val="20"/>
          <w:lang w:val="en-US"/>
        </w:rPr>
        <w:t>. Graphical representations were generated using the</w:t>
      </w:r>
      <w:r w:rsidR="00C239EA" w:rsidRPr="00C239EA">
        <w:rPr>
          <w:rFonts w:ascii="Arial" w:eastAsia="Times New Roman" w:hAnsi="Arial" w:cs="Arial"/>
          <w:sz w:val="20"/>
          <w:szCs w:val="20"/>
          <w:lang w:val="en-US"/>
        </w:rPr>
        <w:t xml:space="preserve"> ggplot2, </w:t>
      </w:r>
      <w:proofErr w:type="spellStart"/>
      <w:r w:rsidR="00C239EA" w:rsidRPr="00C239EA">
        <w:rPr>
          <w:rFonts w:ascii="Arial" w:eastAsia="Times New Roman" w:hAnsi="Arial" w:cs="Arial"/>
          <w:sz w:val="20"/>
          <w:szCs w:val="20"/>
          <w:lang w:val="en-US"/>
        </w:rPr>
        <w:t>ggpubr</w:t>
      </w:r>
      <w:proofErr w:type="spellEnd"/>
      <w:r w:rsidR="00C239EA" w:rsidRPr="00C239EA">
        <w:rPr>
          <w:rFonts w:ascii="Arial" w:eastAsia="Times New Roman" w:hAnsi="Arial" w:cs="Arial"/>
          <w:sz w:val="20"/>
          <w:szCs w:val="20"/>
          <w:lang w:val="en-US"/>
        </w:rPr>
        <w:t xml:space="preserve">, </w:t>
      </w:r>
      <w:proofErr w:type="spellStart"/>
      <w:r w:rsidR="00C239EA" w:rsidRPr="00C239EA">
        <w:rPr>
          <w:rFonts w:ascii="Arial" w:eastAsia="Times New Roman" w:hAnsi="Arial" w:cs="Arial"/>
          <w:sz w:val="20"/>
          <w:szCs w:val="20"/>
          <w:lang w:val="en-US"/>
        </w:rPr>
        <w:t>ggdist</w:t>
      </w:r>
      <w:proofErr w:type="spellEnd"/>
      <w:r w:rsidR="00C239EA" w:rsidRPr="00C239EA">
        <w:rPr>
          <w:rFonts w:ascii="Arial" w:eastAsia="Times New Roman" w:hAnsi="Arial" w:cs="Arial"/>
          <w:sz w:val="20"/>
          <w:szCs w:val="20"/>
          <w:lang w:val="en-US"/>
        </w:rPr>
        <w:t xml:space="preserve">, and </w:t>
      </w:r>
      <w:proofErr w:type="spellStart"/>
      <w:r w:rsidR="00C239EA" w:rsidRPr="00C239EA">
        <w:rPr>
          <w:rFonts w:ascii="Arial" w:eastAsia="Times New Roman" w:hAnsi="Arial" w:cs="Arial"/>
          <w:sz w:val="20"/>
          <w:szCs w:val="20"/>
          <w:lang w:val="en-US"/>
        </w:rPr>
        <w:t>tidyquant</w:t>
      </w:r>
      <w:proofErr w:type="spellEnd"/>
      <w:r w:rsidR="00C239EA" w:rsidRPr="00C239EA">
        <w:rPr>
          <w:rFonts w:ascii="Arial" w:eastAsia="Times New Roman" w:hAnsi="Arial" w:cs="Arial"/>
          <w:sz w:val="20"/>
          <w:szCs w:val="20"/>
          <w:lang w:val="en-US"/>
        </w:rPr>
        <w:t xml:space="preserve"> packages. Non-parametric tests and post-hoc analyses were conducted using FSA and </w:t>
      </w:r>
      <w:proofErr w:type="spellStart"/>
      <w:r w:rsidR="00C239EA" w:rsidRPr="00C239EA">
        <w:rPr>
          <w:rFonts w:ascii="Arial" w:eastAsia="Times New Roman" w:hAnsi="Arial" w:cs="Arial"/>
          <w:sz w:val="20"/>
          <w:szCs w:val="20"/>
          <w:lang w:val="en-US"/>
        </w:rPr>
        <w:t>rcompanion</w:t>
      </w:r>
      <w:proofErr w:type="spellEnd"/>
      <w:r w:rsidR="00C239EA" w:rsidRPr="00C239EA">
        <w:rPr>
          <w:rFonts w:ascii="Arial" w:eastAsia="Times New Roman" w:hAnsi="Arial" w:cs="Arial"/>
          <w:sz w:val="20"/>
          <w:szCs w:val="20"/>
          <w:lang w:val="en-US"/>
        </w:rPr>
        <w:t>, while correlation matrices, power analyses</w:t>
      </w:r>
      <w:r w:rsidR="00C239EA">
        <w:rPr>
          <w:rFonts w:ascii="Arial" w:eastAsia="Times New Roman" w:hAnsi="Arial" w:cs="Arial"/>
          <w:sz w:val="20"/>
          <w:szCs w:val="20"/>
          <w:lang w:val="en-US"/>
        </w:rPr>
        <w:t>,</w:t>
      </w:r>
      <w:r w:rsidR="00C239EA" w:rsidRPr="00C239EA">
        <w:rPr>
          <w:rFonts w:ascii="Arial" w:eastAsia="Times New Roman" w:hAnsi="Arial" w:cs="Arial"/>
          <w:sz w:val="20"/>
          <w:szCs w:val="20"/>
          <w:lang w:val="en-US"/>
        </w:rPr>
        <w:t xml:space="preserve"> and Theil-Sen regressions were </w:t>
      </w:r>
      <w:r w:rsidR="00C239EA">
        <w:rPr>
          <w:rFonts w:ascii="Arial" w:eastAsia="Times New Roman" w:hAnsi="Arial" w:cs="Arial"/>
          <w:sz w:val="20"/>
          <w:szCs w:val="20"/>
          <w:lang w:val="en-US"/>
        </w:rPr>
        <w:t>implemented with</w:t>
      </w:r>
      <w:r w:rsidR="00C239EA" w:rsidRPr="00C239EA">
        <w:rPr>
          <w:rFonts w:ascii="Arial" w:eastAsia="Times New Roman" w:hAnsi="Arial" w:cs="Arial"/>
          <w:sz w:val="20"/>
          <w:szCs w:val="20"/>
          <w:lang w:val="en-US"/>
        </w:rPr>
        <w:t xml:space="preserve"> </w:t>
      </w:r>
      <w:proofErr w:type="spellStart"/>
      <w:r w:rsidR="00C239EA" w:rsidRPr="00C239EA">
        <w:rPr>
          <w:rFonts w:ascii="Arial" w:eastAsia="Times New Roman" w:hAnsi="Arial" w:cs="Arial"/>
          <w:sz w:val="20"/>
          <w:szCs w:val="20"/>
          <w:lang w:val="en-US"/>
        </w:rPr>
        <w:t>corrplot</w:t>
      </w:r>
      <w:proofErr w:type="spellEnd"/>
      <w:r w:rsidR="00C239EA" w:rsidRPr="00C239EA">
        <w:rPr>
          <w:rFonts w:ascii="Arial" w:eastAsia="Times New Roman" w:hAnsi="Arial" w:cs="Arial"/>
          <w:sz w:val="20"/>
          <w:szCs w:val="20"/>
          <w:lang w:val="en-US"/>
        </w:rPr>
        <w:t xml:space="preserve">, </w:t>
      </w:r>
      <w:proofErr w:type="spellStart"/>
      <w:r w:rsidR="00C239EA" w:rsidRPr="00C239EA">
        <w:rPr>
          <w:rFonts w:ascii="Arial" w:eastAsia="Times New Roman" w:hAnsi="Arial" w:cs="Arial"/>
          <w:sz w:val="20"/>
          <w:szCs w:val="20"/>
          <w:lang w:val="en-US"/>
        </w:rPr>
        <w:t>pwr</w:t>
      </w:r>
      <w:proofErr w:type="spellEnd"/>
      <w:r w:rsidR="00C239EA" w:rsidRPr="00C239EA">
        <w:rPr>
          <w:rFonts w:ascii="Arial" w:eastAsia="Times New Roman" w:hAnsi="Arial" w:cs="Arial"/>
          <w:sz w:val="20"/>
          <w:szCs w:val="20"/>
          <w:lang w:val="en-US"/>
        </w:rPr>
        <w:t xml:space="preserve">, and </w:t>
      </w:r>
      <w:proofErr w:type="spellStart"/>
      <w:r w:rsidR="00C239EA" w:rsidRPr="00C239EA">
        <w:rPr>
          <w:rFonts w:ascii="Arial" w:eastAsia="Times New Roman" w:hAnsi="Arial" w:cs="Arial"/>
          <w:sz w:val="20"/>
          <w:szCs w:val="20"/>
          <w:lang w:val="en-US"/>
        </w:rPr>
        <w:t>mblm</w:t>
      </w:r>
      <w:proofErr w:type="spellEnd"/>
      <w:r w:rsidR="00C239EA" w:rsidRPr="00C239EA">
        <w:rPr>
          <w:rFonts w:ascii="Arial" w:eastAsia="Times New Roman" w:hAnsi="Arial" w:cs="Arial"/>
          <w:sz w:val="20"/>
          <w:szCs w:val="20"/>
          <w:lang w:val="en-US"/>
        </w:rPr>
        <w:t xml:space="preserve">, respectively. </w:t>
      </w:r>
      <w:r w:rsidR="00D453B9" w:rsidRPr="0057197B">
        <w:rPr>
          <w:rFonts w:ascii="Arial" w:eastAsia="Times New Roman" w:hAnsi="Arial" w:cs="Arial"/>
          <w:sz w:val="20"/>
          <w:szCs w:val="20"/>
          <w:lang w:val="en-US"/>
        </w:rPr>
        <w:t>Due to the inherent heteroscedasticity and non-normal distribution of atmospheric concentrations, non-parametric methods were prioritized, although a dual frequentist approach was used for trend analysis based on residual distribution. Statistical significance was set at p &lt; 0.05.</w:t>
      </w:r>
      <w:r w:rsidR="00032B71" w:rsidRPr="0057197B">
        <w:rPr>
          <w:rFonts w:ascii="Arial" w:eastAsia="Times New Roman" w:hAnsi="Arial" w:cs="Arial"/>
          <w:sz w:val="20"/>
          <w:szCs w:val="20"/>
          <w:lang w:val="en-US"/>
        </w:rPr>
        <w:t xml:space="preserve"> </w:t>
      </w:r>
      <w:r w:rsidR="008F5891" w:rsidRPr="0057197B">
        <w:rPr>
          <w:rFonts w:ascii="Arial" w:eastAsia="Times New Roman" w:hAnsi="Arial" w:cs="Arial"/>
          <w:sz w:val="20"/>
          <w:szCs w:val="20"/>
          <w:lang w:val="en-US"/>
        </w:rPr>
        <w:t>However, throughout the manuscript and within the correlation matrices, distinct levels of statistical significance are explicitly denoted using asterisks (p &lt; 0.05</w:t>
      </w:r>
      <w:r w:rsidR="00D453B9" w:rsidRPr="0057197B">
        <w:rPr>
          <w:rFonts w:ascii="Arial" w:eastAsia="Times New Roman" w:hAnsi="Arial" w:cs="Arial"/>
          <w:sz w:val="20"/>
          <w:szCs w:val="20"/>
          <w:lang w:val="en-US"/>
        </w:rPr>
        <w:t>*</w:t>
      </w:r>
      <w:r w:rsidR="008F5891" w:rsidRPr="0057197B">
        <w:rPr>
          <w:rFonts w:ascii="Arial" w:eastAsia="Times New Roman" w:hAnsi="Arial" w:cs="Arial"/>
          <w:sz w:val="20"/>
          <w:szCs w:val="20"/>
          <w:lang w:val="en-US"/>
        </w:rPr>
        <w:t>, p &lt; 0.01</w:t>
      </w:r>
      <w:r w:rsidR="00D453B9" w:rsidRPr="0057197B">
        <w:rPr>
          <w:rFonts w:ascii="Arial" w:eastAsia="Times New Roman" w:hAnsi="Arial" w:cs="Arial"/>
          <w:sz w:val="20"/>
          <w:szCs w:val="20"/>
          <w:lang w:val="en-US"/>
        </w:rPr>
        <w:t>**</w:t>
      </w:r>
      <w:r w:rsidR="008F5891" w:rsidRPr="0057197B">
        <w:rPr>
          <w:rFonts w:ascii="Arial" w:eastAsia="Times New Roman" w:hAnsi="Arial" w:cs="Arial"/>
          <w:sz w:val="20"/>
          <w:szCs w:val="20"/>
          <w:lang w:val="en-US"/>
        </w:rPr>
        <w:t>, and p &lt; 0.001</w:t>
      </w:r>
      <w:r w:rsidR="00D453B9" w:rsidRPr="0057197B">
        <w:rPr>
          <w:rFonts w:ascii="Arial" w:eastAsia="Times New Roman" w:hAnsi="Arial" w:cs="Arial"/>
          <w:sz w:val="20"/>
          <w:szCs w:val="20"/>
          <w:lang w:val="en-US"/>
        </w:rPr>
        <w:t>***</w:t>
      </w:r>
      <w:r w:rsidR="008F5891" w:rsidRPr="0057197B">
        <w:rPr>
          <w:rFonts w:ascii="Arial" w:eastAsia="Times New Roman" w:hAnsi="Arial" w:cs="Arial"/>
          <w:sz w:val="20"/>
          <w:szCs w:val="20"/>
          <w:lang w:val="en-US"/>
        </w:rPr>
        <w:t xml:space="preserve">). </w:t>
      </w:r>
      <w:r w:rsidR="00032B71" w:rsidRPr="0057197B">
        <w:rPr>
          <w:rFonts w:ascii="Arial" w:eastAsia="Times New Roman" w:hAnsi="Arial" w:cs="Arial"/>
          <w:sz w:val="20"/>
          <w:szCs w:val="20"/>
          <w:lang w:val="en-US"/>
        </w:rPr>
        <w:t>Values below the LOQ were substituted by LOQ/√2</w:t>
      </w:r>
      <w:r w:rsidR="00D453B9" w:rsidRPr="0057197B">
        <w:rPr>
          <w:rFonts w:ascii="Arial" w:eastAsia="Times New Roman" w:hAnsi="Arial" w:cs="Arial"/>
          <w:sz w:val="20"/>
          <w:szCs w:val="20"/>
          <w:lang w:val="en-US"/>
        </w:rPr>
        <w:t>,</w:t>
      </w:r>
      <w:r w:rsidR="00032B71" w:rsidRPr="0057197B">
        <w:rPr>
          <w:rFonts w:ascii="Arial" w:eastAsia="Times New Roman" w:hAnsi="Arial" w:cs="Arial"/>
          <w:sz w:val="20"/>
          <w:szCs w:val="20"/>
          <w:lang w:val="en-US"/>
        </w:rPr>
        <w:t xml:space="preserve"> and extreme outliers (&gt;3× interquartile range) were excluded following independent detection for each analyte and site.</w:t>
      </w:r>
      <w:r w:rsidRPr="0057197B">
        <w:rPr>
          <w:rFonts w:ascii="Arial" w:eastAsia="Times New Roman" w:hAnsi="Arial" w:cs="Arial"/>
          <w:sz w:val="20"/>
          <w:szCs w:val="20"/>
          <w:lang w:val="en-US"/>
        </w:rPr>
        <w:t xml:space="preserve"> </w:t>
      </w:r>
    </w:p>
    <w:p w14:paraId="2D12DB2F" w14:textId="1A78BB3B" w:rsidR="00FA5353" w:rsidRPr="0057197B" w:rsidRDefault="00FA5353" w:rsidP="00943748">
      <w:pPr>
        <w:spacing w:before="100" w:beforeAutospacing="1" w:after="100" w:afterAutospacing="1" w:line="240" w:lineRule="auto"/>
        <w:jc w:val="both"/>
        <w:rPr>
          <w:rFonts w:ascii="Arial" w:eastAsia="Times New Roman" w:hAnsi="Arial" w:cs="Arial"/>
          <w:b/>
          <w:bCs/>
          <w:sz w:val="20"/>
          <w:szCs w:val="20"/>
          <w:lang w:val="en-US"/>
        </w:rPr>
      </w:pPr>
      <w:r w:rsidRPr="0057197B">
        <w:rPr>
          <w:rFonts w:ascii="Arial" w:eastAsia="Times New Roman" w:hAnsi="Arial" w:cs="Arial"/>
          <w:b/>
          <w:bCs/>
          <w:sz w:val="20"/>
          <w:szCs w:val="20"/>
          <w:lang w:val="en-US"/>
        </w:rPr>
        <w:t>Descriptive analysis and comparative analysis.</w:t>
      </w:r>
    </w:p>
    <w:p w14:paraId="482ECB1E" w14:textId="6F290595" w:rsidR="005568C8" w:rsidRPr="0057197B" w:rsidRDefault="003E7133" w:rsidP="00943748">
      <w:pPr>
        <w:spacing w:before="100" w:beforeAutospacing="1" w:after="100" w:afterAutospacing="1" w:line="240" w:lineRule="auto"/>
        <w:jc w:val="both"/>
        <w:rPr>
          <w:rFonts w:ascii="Arial" w:eastAsia="Times New Roman" w:hAnsi="Arial" w:cs="Arial"/>
          <w:sz w:val="20"/>
          <w:szCs w:val="20"/>
          <w:lang w:val="en-US"/>
        </w:rPr>
      </w:pPr>
      <w:r w:rsidRPr="0057197B">
        <w:rPr>
          <w:rFonts w:ascii="Arial" w:eastAsia="Times New Roman" w:hAnsi="Arial" w:cs="Arial"/>
          <w:sz w:val="20"/>
          <w:szCs w:val="20"/>
          <w:lang w:val="en-US"/>
        </w:rPr>
        <w:t xml:space="preserve">Atmospheric </w:t>
      </w:r>
      <w:r w:rsidR="005D5383" w:rsidRPr="0057197B">
        <w:rPr>
          <w:rFonts w:ascii="Arial" w:eastAsia="Times New Roman" w:hAnsi="Arial" w:cs="Arial"/>
          <w:sz w:val="20"/>
          <w:szCs w:val="20"/>
          <w:lang w:val="en-US"/>
        </w:rPr>
        <w:t xml:space="preserve">concentrations were </w:t>
      </w:r>
      <w:r w:rsidR="005568C8" w:rsidRPr="0057197B">
        <w:rPr>
          <w:rFonts w:ascii="Arial" w:eastAsia="Times New Roman" w:hAnsi="Arial" w:cs="Arial"/>
          <w:sz w:val="20"/>
          <w:szCs w:val="20"/>
          <w:lang w:val="en-US"/>
        </w:rPr>
        <w:t>visualized using Raincloud plots, integrat</w:t>
      </w:r>
      <w:r w:rsidR="005D5383" w:rsidRPr="0057197B">
        <w:rPr>
          <w:rFonts w:ascii="Arial" w:eastAsia="Times New Roman" w:hAnsi="Arial" w:cs="Arial"/>
          <w:sz w:val="20"/>
          <w:szCs w:val="20"/>
          <w:lang w:val="en-US"/>
        </w:rPr>
        <w:t>ing</w:t>
      </w:r>
      <w:r w:rsidR="005568C8" w:rsidRPr="0057197B">
        <w:rPr>
          <w:rFonts w:ascii="Arial" w:eastAsia="Times New Roman" w:hAnsi="Arial" w:cs="Arial"/>
          <w:sz w:val="20"/>
          <w:szCs w:val="20"/>
          <w:lang w:val="en-US"/>
        </w:rPr>
        <w:t xml:space="preserve"> raw data</w:t>
      </w:r>
      <w:r w:rsidR="005D5383" w:rsidRPr="0057197B">
        <w:rPr>
          <w:rFonts w:ascii="Arial" w:eastAsia="Times New Roman" w:hAnsi="Arial" w:cs="Arial"/>
          <w:sz w:val="20"/>
          <w:szCs w:val="20"/>
          <w:lang w:val="en-US"/>
        </w:rPr>
        <w:t xml:space="preserve"> plots</w:t>
      </w:r>
      <w:r w:rsidR="005568C8" w:rsidRPr="0057197B">
        <w:rPr>
          <w:rFonts w:ascii="Arial" w:eastAsia="Times New Roman" w:hAnsi="Arial" w:cs="Arial"/>
          <w:sz w:val="20"/>
          <w:szCs w:val="20"/>
          <w:lang w:val="en-US"/>
        </w:rPr>
        <w:t>, boxplots (representing median and interquartile range), and kernel density estimations</w:t>
      </w:r>
      <w:r w:rsidR="0010566B" w:rsidRPr="0057197B">
        <w:rPr>
          <w:rFonts w:ascii="Arial" w:eastAsia="Times New Roman" w:hAnsi="Arial" w:cs="Arial"/>
          <w:sz w:val="20"/>
          <w:szCs w:val="20"/>
          <w:lang w:val="en-US"/>
        </w:rPr>
        <w:t xml:space="preserve"> (half-eye</w:t>
      </w:r>
      <w:r w:rsidR="004709AC" w:rsidRPr="0057197B">
        <w:rPr>
          <w:rFonts w:ascii="Arial" w:eastAsia="Times New Roman" w:hAnsi="Arial" w:cs="Arial"/>
          <w:sz w:val="20"/>
          <w:szCs w:val="20"/>
          <w:lang w:val="en-US"/>
        </w:rPr>
        <w:t xml:space="preserve"> plots</w:t>
      </w:r>
      <w:r w:rsidR="0010566B" w:rsidRPr="0057197B">
        <w:rPr>
          <w:rFonts w:ascii="Arial" w:eastAsia="Times New Roman" w:hAnsi="Arial" w:cs="Arial"/>
          <w:sz w:val="20"/>
          <w:szCs w:val="20"/>
          <w:lang w:val="en-US"/>
        </w:rPr>
        <w:t>)</w:t>
      </w:r>
      <w:r w:rsidR="005568C8" w:rsidRPr="0057197B">
        <w:rPr>
          <w:rFonts w:ascii="Arial" w:eastAsia="Times New Roman" w:hAnsi="Arial" w:cs="Arial"/>
          <w:sz w:val="20"/>
          <w:szCs w:val="20"/>
          <w:lang w:val="en-US"/>
        </w:rPr>
        <w:t>. For visualization purposes, concentrations were log-transformed (log</w:t>
      </w:r>
      <w:r w:rsidR="005568C8" w:rsidRPr="0057197B">
        <w:rPr>
          <w:rFonts w:ascii="Arial" w:eastAsia="Times New Roman" w:hAnsi="Arial" w:cs="Arial"/>
          <w:sz w:val="20"/>
          <w:szCs w:val="20"/>
          <w:vertAlign w:val="subscript"/>
          <w:lang w:val="en-US"/>
        </w:rPr>
        <w:t>10</w:t>
      </w:r>
      <w:r w:rsidR="005568C8" w:rsidRPr="0057197B">
        <w:rPr>
          <w:rFonts w:ascii="Arial" w:eastAsia="Times New Roman" w:hAnsi="Arial" w:cs="Arial"/>
          <w:sz w:val="20"/>
          <w:szCs w:val="20"/>
          <w:lang w:val="en-US"/>
        </w:rPr>
        <w:t>) to accommodate the wide range of magnitudes across compounds</w:t>
      </w:r>
      <w:r w:rsidR="004709AC" w:rsidRPr="0057197B">
        <w:rPr>
          <w:rFonts w:ascii="Arial" w:eastAsia="Times New Roman" w:hAnsi="Arial" w:cs="Arial"/>
          <w:sz w:val="20"/>
          <w:szCs w:val="20"/>
          <w:lang w:val="en-US"/>
        </w:rPr>
        <w:t xml:space="preserve"> and locations</w:t>
      </w:r>
      <w:r w:rsidR="005568C8" w:rsidRPr="0057197B">
        <w:rPr>
          <w:rFonts w:ascii="Arial" w:eastAsia="Times New Roman" w:hAnsi="Arial" w:cs="Arial"/>
          <w:sz w:val="20"/>
          <w:szCs w:val="20"/>
          <w:lang w:val="en-US"/>
        </w:rPr>
        <w:t>.</w:t>
      </w:r>
      <w:r w:rsidR="00943748" w:rsidRPr="0057197B">
        <w:rPr>
          <w:rFonts w:ascii="Arial" w:eastAsia="Times New Roman" w:hAnsi="Arial" w:cs="Arial"/>
          <w:sz w:val="20"/>
          <w:szCs w:val="20"/>
          <w:lang w:val="en-US"/>
        </w:rPr>
        <w:t xml:space="preserve"> </w:t>
      </w:r>
      <w:r w:rsidR="005568C8" w:rsidRPr="0057197B">
        <w:rPr>
          <w:rFonts w:ascii="Arial" w:eastAsia="Times New Roman" w:hAnsi="Arial" w:cs="Arial"/>
          <w:sz w:val="20"/>
          <w:szCs w:val="20"/>
          <w:lang w:val="en-US"/>
        </w:rPr>
        <w:t xml:space="preserve">Differences </w:t>
      </w:r>
      <w:r w:rsidR="005D5383" w:rsidRPr="0057197B">
        <w:rPr>
          <w:rFonts w:ascii="Arial" w:eastAsia="Times New Roman" w:hAnsi="Arial" w:cs="Arial"/>
          <w:sz w:val="20"/>
          <w:szCs w:val="20"/>
          <w:lang w:val="en-US"/>
        </w:rPr>
        <w:t>between location types, individual sites</w:t>
      </w:r>
      <w:r w:rsidR="004709AC" w:rsidRPr="0057197B">
        <w:rPr>
          <w:rFonts w:ascii="Arial" w:eastAsia="Times New Roman" w:hAnsi="Arial" w:cs="Arial"/>
          <w:sz w:val="20"/>
          <w:szCs w:val="20"/>
          <w:lang w:val="en-US"/>
        </w:rPr>
        <w:t xml:space="preserve">, and chemical families </w:t>
      </w:r>
      <w:r w:rsidR="005568C8" w:rsidRPr="0057197B">
        <w:rPr>
          <w:rFonts w:ascii="Arial" w:eastAsia="Times New Roman" w:hAnsi="Arial" w:cs="Arial"/>
          <w:sz w:val="20"/>
          <w:szCs w:val="20"/>
          <w:lang w:val="en-US"/>
        </w:rPr>
        <w:t xml:space="preserve">were assessed using the Kruskal-Wallis </w:t>
      </w:r>
      <w:r w:rsidR="004709AC" w:rsidRPr="0057197B">
        <w:rPr>
          <w:rFonts w:ascii="Arial" w:eastAsia="Times New Roman" w:hAnsi="Arial" w:cs="Arial"/>
          <w:sz w:val="20"/>
          <w:szCs w:val="20"/>
          <w:lang w:val="en-US"/>
        </w:rPr>
        <w:t>H-</w:t>
      </w:r>
      <w:r w:rsidR="005568C8" w:rsidRPr="0057197B">
        <w:rPr>
          <w:rFonts w:ascii="Arial" w:eastAsia="Times New Roman" w:hAnsi="Arial" w:cs="Arial"/>
          <w:sz w:val="20"/>
          <w:szCs w:val="20"/>
          <w:lang w:val="en-US"/>
        </w:rPr>
        <w:t>test, followed by Dunn’s post-hoc test with Bonferroni correction</w:t>
      </w:r>
      <w:r w:rsidR="005D5383" w:rsidRPr="0057197B">
        <w:rPr>
          <w:rFonts w:ascii="Arial" w:eastAsia="Times New Roman" w:hAnsi="Arial" w:cs="Arial"/>
          <w:sz w:val="20"/>
          <w:szCs w:val="20"/>
          <w:lang w:val="en-US"/>
        </w:rPr>
        <w:t>.</w:t>
      </w:r>
      <w:r w:rsidR="005568C8" w:rsidRPr="0057197B">
        <w:rPr>
          <w:rFonts w:ascii="Arial" w:eastAsia="Times New Roman" w:hAnsi="Arial" w:cs="Arial"/>
          <w:sz w:val="20"/>
          <w:szCs w:val="20"/>
          <w:lang w:val="en-US"/>
        </w:rPr>
        <w:t xml:space="preserve"> Significant differences </w:t>
      </w:r>
      <w:r w:rsidR="00D453B9" w:rsidRPr="0057197B">
        <w:rPr>
          <w:rFonts w:ascii="Arial" w:eastAsia="Times New Roman" w:hAnsi="Arial" w:cs="Arial"/>
          <w:sz w:val="20"/>
          <w:szCs w:val="20"/>
          <w:lang w:val="en-US"/>
        </w:rPr>
        <w:t xml:space="preserve">are presented using compact letter display (CLD), </w:t>
      </w:r>
      <w:r w:rsidR="005568C8" w:rsidRPr="0057197B">
        <w:rPr>
          <w:rFonts w:ascii="Arial" w:eastAsia="Times New Roman" w:hAnsi="Arial" w:cs="Arial"/>
          <w:sz w:val="20"/>
          <w:szCs w:val="20"/>
          <w:lang w:val="en-US"/>
        </w:rPr>
        <w:t>where groups sharing the same letter are not significantly different (p</w:t>
      </w:r>
      <w:r w:rsidR="00692FAC">
        <w:rPr>
          <w:rFonts w:ascii="Arial" w:eastAsia="Times New Roman" w:hAnsi="Arial" w:cs="Arial"/>
          <w:sz w:val="20"/>
          <w:szCs w:val="20"/>
          <w:lang w:val="en-US"/>
        </w:rPr>
        <w:t xml:space="preserve"> ≥</w:t>
      </w:r>
      <w:r w:rsidR="005568C8" w:rsidRPr="0057197B">
        <w:rPr>
          <w:rFonts w:ascii="Arial" w:eastAsia="Times New Roman" w:hAnsi="Arial" w:cs="Arial"/>
          <w:sz w:val="20"/>
          <w:szCs w:val="20"/>
          <w:lang w:val="en-US"/>
        </w:rPr>
        <w:t xml:space="preserve"> 0.05).</w:t>
      </w:r>
    </w:p>
    <w:p w14:paraId="13C617EA" w14:textId="7B7B2397" w:rsidR="00FA5353" w:rsidRPr="0057197B" w:rsidRDefault="00FA5353" w:rsidP="00943748">
      <w:pPr>
        <w:jc w:val="both"/>
        <w:rPr>
          <w:rFonts w:ascii="Arial" w:eastAsia="Times New Roman" w:hAnsi="Arial" w:cs="Arial"/>
          <w:b/>
          <w:bCs/>
          <w:sz w:val="20"/>
          <w:szCs w:val="20"/>
          <w:lang w:val="en-US"/>
        </w:rPr>
      </w:pPr>
      <w:r w:rsidRPr="0057197B">
        <w:rPr>
          <w:rFonts w:ascii="Arial" w:eastAsia="Times New Roman" w:hAnsi="Arial" w:cs="Arial"/>
          <w:b/>
          <w:bCs/>
          <w:sz w:val="20"/>
          <w:szCs w:val="20"/>
          <w:lang w:val="en-US"/>
        </w:rPr>
        <w:t xml:space="preserve">Correlation and </w:t>
      </w:r>
      <w:r w:rsidR="00D453B9" w:rsidRPr="0057197B">
        <w:rPr>
          <w:rFonts w:ascii="Arial" w:eastAsia="Times New Roman" w:hAnsi="Arial" w:cs="Arial"/>
          <w:b/>
          <w:bCs/>
          <w:sz w:val="20"/>
          <w:szCs w:val="20"/>
          <w:lang w:val="en-US"/>
        </w:rPr>
        <w:t>S</w:t>
      </w:r>
      <w:r w:rsidRPr="0057197B">
        <w:rPr>
          <w:rFonts w:ascii="Arial" w:eastAsia="Times New Roman" w:hAnsi="Arial" w:cs="Arial"/>
          <w:b/>
          <w:bCs/>
          <w:sz w:val="20"/>
          <w:szCs w:val="20"/>
          <w:lang w:val="en-US"/>
        </w:rPr>
        <w:t xml:space="preserve">ource </w:t>
      </w:r>
      <w:r w:rsidR="00D453B9" w:rsidRPr="0057197B">
        <w:rPr>
          <w:rFonts w:ascii="Arial" w:eastAsia="Times New Roman" w:hAnsi="Arial" w:cs="Arial"/>
          <w:b/>
          <w:bCs/>
          <w:sz w:val="20"/>
          <w:szCs w:val="20"/>
          <w:lang w:val="en-US"/>
        </w:rPr>
        <w:t>I</w:t>
      </w:r>
      <w:r w:rsidRPr="0057197B">
        <w:rPr>
          <w:rFonts w:ascii="Arial" w:eastAsia="Times New Roman" w:hAnsi="Arial" w:cs="Arial"/>
          <w:b/>
          <w:bCs/>
          <w:sz w:val="20"/>
          <w:szCs w:val="20"/>
          <w:lang w:val="en-US"/>
        </w:rPr>
        <w:t>dentification</w:t>
      </w:r>
    </w:p>
    <w:p w14:paraId="0857A63C" w14:textId="3FAB816D" w:rsidR="0010566B" w:rsidRPr="0057197B" w:rsidRDefault="00943748" w:rsidP="00943748">
      <w:pPr>
        <w:jc w:val="both"/>
        <w:rPr>
          <w:rFonts w:ascii="Arial" w:eastAsia="Times New Roman" w:hAnsi="Arial" w:cs="Arial"/>
          <w:sz w:val="20"/>
          <w:szCs w:val="20"/>
          <w:lang w:val="en-US"/>
        </w:rPr>
      </w:pPr>
      <w:r w:rsidRPr="0057197B">
        <w:rPr>
          <w:rFonts w:ascii="Arial" w:eastAsia="Times New Roman" w:hAnsi="Arial" w:cs="Arial"/>
          <w:sz w:val="20"/>
          <w:szCs w:val="20"/>
          <w:lang w:val="en-US"/>
        </w:rPr>
        <w:t xml:space="preserve">Inter-compound relationships and </w:t>
      </w:r>
      <w:r w:rsidR="004709AC" w:rsidRPr="0057197B">
        <w:rPr>
          <w:rFonts w:ascii="Arial" w:eastAsia="Times New Roman" w:hAnsi="Arial" w:cs="Arial"/>
          <w:sz w:val="20"/>
          <w:szCs w:val="20"/>
          <w:lang w:val="en-US"/>
        </w:rPr>
        <w:t xml:space="preserve">potential </w:t>
      </w:r>
      <w:r w:rsidRPr="0057197B">
        <w:rPr>
          <w:rFonts w:ascii="Arial" w:eastAsia="Times New Roman" w:hAnsi="Arial" w:cs="Arial"/>
          <w:sz w:val="20"/>
          <w:szCs w:val="20"/>
          <w:lang w:val="en-US"/>
        </w:rPr>
        <w:t xml:space="preserve">source </w:t>
      </w:r>
      <w:r w:rsidR="004709AC" w:rsidRPr="0057197B">
        <w:rPr>
          <w:rFonts w:ascii="Arial" w:eastAsia="Times New Roman" w:hAnsi="Arial" w:cs="Arial"/>
          <w:sz w:val="20"/>
          <w:szCs w:val="20"/>
          <w:lang w:val="en-US"/>
        </w:rPr>
        <w:t xml:space="preserve">commonalities </w:t>
      </w:r>
      <w:r w:rsidRPr="0057197B">
        <w:rPr>
          <w:rFonts w:ascii="Arial" w:eastAsia="Times New Roman" w:hAnsi="Arial" w:cs="Arial"/>
          <w:sz w:val="20"/>
          <w:szCs w:val="20"/>
          <w:lang w:val="en-US"/>
        </w:rPr>
        <w:t>were explored using Spearman</w:t>
      </w:r>
      <w:r w:rsidR="00D453B9" w:rsidRPr="0057197B">
        <w:rPr>
          <w:rFonts w:ascii="Arial" w:eastAsia="Times New Roman" w:hAnsi="Arial" w:cs="Arial"/>
          <w:sz w:val="20"/>
          <w:szCs w:val="20"/>
          <w:lang w:val="en-US"/>
        </w:rPr>
        <w:t>’</w:t>
      </w:r>
      <w:r w:rsidRPr="0057197B">
        <w:rPr>
          <w:rFonts w:ascii="Arial" w:eastAsia="Times New Roman" w:hAnsi="Arial" w:cs="Arial"/>
          <w:sz w:val="20"/>
          <w:szCs w:val="20"/>
          <w:lang w:val="en-US"/>
        </w:rPr>
        <w:t>s rank correlation coefficients (</w:t>
      </w:r>
      <w:proofErr w:type="spellStart"/>
      <w:r w:rsidR="00D453B9" w:rsidRPr="0057197B">
        <w:rPr>
          <w:rFonts w:ascii="Arial" w:eastAsia="Times New Roman" w:hAnsi="Arial" w:cs="Arial"/>
          <w:sz w:val="20"/>
          <w:szCs w:val="20"/>
          <w:lang w:val="en-US"/>
        </w:rPr>
        <w:t>r</w:t>
      </w:r>
      <w:r w:rsidR="00D453B9" w:rsidRPr="0057197B">
        <w:rPr>
          <w:rFonts w:ascii="Arial" w:eastAsia="Times New Roman" w:hAnsi="Arial" w:cs="Arial"/>
          <w:sz w:val="20"/>
          <w:szCs w:val="20"/>
          <w:vertAlign w:val="subscript"/>
          <w:lang w:val="en-US"/>
        </w:rPr>
        <w:t>s</w:t>
      </w:r>
      <w:proofErr w:type="spellEnd"/>
      <w:r w:rsidRPr="0057197B">
        <w:rPr>
          <w:rFonts w:ascii="Arial" w:eastAsia="Times New Roman" w:hAnsi="Arial" w:cs="Arial"/>
          <w:sz w:val="20"/>
          <w:szCs w:val="20"/>
          <w:lang w:val="en-US"/>
        </w:rPr>
        <w:t xml:space="preserve">). </w:t>
      </w:r>
      <w:r w:rsidR="00221E8A" w:rsidRPr="0057197B">
        <w:rPr>
          <w:rFonts w:ascii="Arial" w:eastAsia="Times New Roman" w:hAnsi="Arial" w:cs="Arial"/>
          <w:sz w:val="20"/>
          <w:szCs w:val="20"/>
          <w:lang w:val="en-US"/>
        </w:rPr>
        <w:t xml:space="preserve">To ensure statistical robustness, correlations were only calculated for locations with a minimum of five valid samples. Furthermore, compounds with standard deviation &lt; 0.0001 within a specific subset were excluded from the analysis to avoid mathematical artifacts. </w:t>
      </w:r>
      <w:r w:rsidR="004709AC" w:rsidRPr="0057197B">
        <w:rPr>
          <w:rFonts w:ascii="Arial" w:eastAsia="Times New Roman" w:hAnsi="Arial" w:cs="Arial"/>
          <w:sz w:val="20"/>
          <w:szCs w:val="20"/>
          <w:lang w:val="en-US"/>
        </w:rPr>
        <w:t xml:space="preserve">Correlation matrices were </w:t>
      </w:r>
      <w:r w:rsidR="004709AC" w:rsidRPr="0057197B">
        <w:rPr>
          <w:rFonts w:ascii="Arial" w:eastAsia="Times New Roman" w:hAnsi="Arial" w:cs="Arial"/>
          <w:sz w:val="20"/>
          <w:szCs w:val="20"/>
          <w:lang w:val="en-US"/>
        </w:rPr>
        <w:lastRenderedPageBreak/>
        <w:t>organized using</w:t>
      </w:r>
      <w:r w:rsidRPr="0057197B">
        <w:rPr>
          <w:rFonts w:ascii="Arial" w:eastAsia="Times New Roman" w:hAnsi="Arial" w:cs="Arial"/>
          <w:sz w:val="20"/>
          <w:szCs w:val="20"/>
          <w:lang w:val="en-US"/>
        </w:rPr>
        <w:t xml:space="preserve"> Hierarchical Clustering (H-</w:t>
      </w:r>
      <w:proofErr w:type="spellStart"/>
      <w:r w:rsidRPr="0057197B">
        <w:rPr>
          <w:rFonts w:ascii="Arial" w:eastAsia="Times New Roman" w:hAnsi="Arial" w:cs="Arial"/>
          <w:sz w:val="20"/>
          <w:szCs w:val="20"/>
          <w:lang w:val="en-US"/>
        </w:rPr>
        <w:t>clust</w:t>
      </w:r>
      <w:proofErr w:type="spellEnd"/>
      <w:r w:rsidRPr="0057197B">
        <w:rPr>
          <w:rFonts w:ascii="Arial" w:eastAsia="Times New Roman" w:hAnsi="Arial" w:cs="Arial"/>
          <w:sz w:val="20"/>
          <w:szCs w:val="20"/>
          <w:lang w:val="en-US"/>
        </w:rPr>
        <w:t>)</w:t>
      </w:r>
      <w:r w:rsidR="004709AC" w:rsidRPr="0057197B">
        <w:rPr>
          <w:rFonts w:ascii="Arial" w:eastAsia="Times New Roman" w:hAnsi="Arial" w:cs="Arial"/>
          <w:sz w:val="20"/>
          <w:szCs w:val="20"/>
          <w:lang w:val="en-US"/>
        </w:rPr>
        <w:t xml:space="preserve"> based on Ward</w:t>
      </w:r>
      <w:r w:rsidR="00473F21">
        <w:rPr>
          <w:rFonts w:ascii="Arial" w:eastAsia="Times New Roman" w:hAnsi="Arial" w:cs="Arial"/>
          <w:sz w:val="20"/>
          <w:szCs w:val="20"/>
          <w:lang w:val="en-US"/>
        </w:rPr>
        <w:t>’s</w:t>
      </w:r>
      <w:r w:rsidR="004709AC" w:rsidRPr="0057197B">
        <w:rPr>
          <w:rFonts w:ascii="Arial" w:eastAsia="Times New Roman" w:hAnsi="Arial" w:cs="Arial"/>
          <w:sz w:val="20"/>
          <w:szCs w:val="20"/>
          <w:lang w:val="en-US"/>
        </w:rPr>
        <w:t xml:space="preserve"> method</w:t>
      </w:r>
      <w:r w:rsidR="00D453B9" w:rsidRPr="0057197B">
        <w:rPr>
          <w:rFonts w:ascii="Arial" w:eastAsia="Times New Roman" w:hAnsi="Arial" w:cs="Arial"/>
          <w:sz w:val="20"/>
          <w:szCs w:val="20"/>
          <w:lang w:val="en-US"/>
        </w:rPr>
        <w:t xml:space="preserve">, </w:t>
      </w:r>
      <w:r w:rsidR="004709AC" w:rsidRPr="0057197B">
        <w:rPr>
          <w:rFonts w:ascii="Arial" w:eastAsia="Times New Roman" w:hAnsi="Arial" w:cs="Arial"/>
          <w:sz w:val="20"/>
          <w:szCs w:val="20"/>
          <w:lang w:val="en-US"/>
        </w:rPr>
        <w:t>group</w:t>
      </w:r>
      <w:r w:rsidR="00D453B9" w:rsidRPr="0057197B">
        <w:rPr>
          <w:rFonts w:ascii="Arial" w:eastAsia="Times New Roman" w:hAnsi="Arial" w:cs="Arial"/>
          <w:sz w:val="20"/>
          <w:szCs w:val="20"/>
          <w:lang w:val="en-US"/>
        </w:rPr>
        <w:t>ing</w:t>
      </w:r>
      <w:r w:rsidR="004709AC" w:rsidRPr="0057197B">
        <w:rPr>
          <w:rFonts w:ascii="Arial" w:eastAsia="Times New Roman" w:hAnsi="Arial" w:cs="Arial"/>
          <w:sz w:val="20"/>
          <w:szCs w:val="20"/>
          <w:lang w:val="en-US"/>
        </w:rPr>
        <w:t xml:space="preserve"> analytes by </w:t>
      </w:r>
      <w:r w:rsidRPr="0057197B">
        <w:rPr>
          <w:rFonts w:ascii="Arial" w:eastAsia="Times New Roman" w:hAnsi="Arial" w:cs="Arial"/>
          <w:sz w:val="20"/>
          <w:szCs w:val="20"/>
          <w:lang w:val="en-US"/>
        </w:rPr>
        <w:t>mathematical similarity</w:t>
      </w:r>
      <w:r w:rsidR="00D453B9" w:rsidRPr="0057197B">
        <w:rPr>
          <w:rFonts w:ascii="Arial" w:eastAsia="Times New Roman" w:hAnsi="Arial" w:cs="Arial"/>
          <w:sz w:val="20"/>
          <w:szCs w:val="20"/>
          <w:lang w:val="en-US"/>
        </w:rPr>
        <w:t xml:space="preserve"> to</w:t>
      </w:r>
      <w:r w:rsidR="004709AC" w:rsidRPr="0057197B">
        <w:rPr>
          <w:rFonts w:ascii="Arial" w:eastAsia="Times New Roman" w:hAnsi="Arial" w:cs="Arial"/>
          <w:sz w:val="20"/>
          <w:szCs w:val="20"/>
          <w:lang w:val="en-US"/>
        </w:rPr>
        <w:t xml:space="preserve"> facilitat</w:t>
      </w:r>
      <w:r w:rsidR="00D453B9" w:rsidRPr="0057197B">
        <w:rPr>
          <w:rFonts w:ascii="Arial" w:eastAsia="Times New Roman" w:hAnsi="Arial" w:cs="Arial"/>
          <w:sz w:val="20"/>
          <w:szCs w:val="20"/>
          <w:lang w:val="en-US"/>
        </w:rPr>
        <w:t>e</w:t>
      </w:r>
      <w:r w:rsidR="004709AC" w:rsidRPr="0057197B">
        <w:rPr>
          <w:rFonts w:ascii="Arial" w:eastAsia="Times New Roman" w:hAnsi="Arial" w:cs="Arial"/>
          <w:sz w:val="20"/>
          <w:szCs w:val="20"/>
          <w:lang w:val="en-US"/>
        </w:rPr>
        <w:t xml:space="preserve"> the identification of co-varying pollutants with similar emission sources or </w:t>
      </w:r>
      <w:r w:rsidRPr="0057197B">
        <w:rPr>
          <w:rFonts w:ascii="Arial" w:eastAsia="Times New Roman" w:hAnsi="Arial" w:cs="Arial"/>
          <w:sz w:val="20"/>
          <w:szCs w:val="20"/>
          <w:lang w:val="en-US"/>
        </w:rPr>
        <w:t>atmospheric behavior.</w:t>
      </w:r>
    </w:p>
    <w:p w14:paraId="29554C57" w14:textId="5B770622" w:rsidR="00FA5353" w:rsidRPr="0057197B" w:rsidRDefault="00FA5353" w:rsidP="0010566B">
      <w:pPr>
        <w:spacing w:before="100" w:beforeAutospacing="1" w:after="100" w:afterAutospacing="1" w:line="240" w:lineRule="auto"/>
        <w:rPr>
          <w:rFonts w:ascii="Arial" w:eastAsia="Times New Roman" w:hAnsi="Arial" w:cs="Arial"/>
          <w:b/>
          <w:bCs/>
          <w:sz w:val="20"/>
          <w:szCs w:val="20"/>
          <w:lang w:val="en-US"/>
        </w:rPr>
      </w:pPr>
      <w:r w:rsidRPr="0057197B">
        <w:rPr>
          <w:rFonts w:ascii="Arial" w:eastAsia="Times New Roman" w:hAnsi="Arial" w:cs="Arial"/>
          <w:b/>
          <w:bCs/>
          <w:sz w:val="20"/>
          <w:szCs w:val="20"/>
          <w:lang w:val="en-US"/>
        </w:rPr>
        <w:t>Temperature dependence (Clausius-Clapeyron)</w:t>
      </w:r>
    </w:p>
    <w:p w14:paraId="558D9028" w14:textId="2C2EC6E3" w:rsidR="00F96FE7" w:rsidRPr="009961BF" w:rsidRDefault="0010566B" w:rsidP="008F5891">
      <w:pPr>
        <w:spacing w:before="100" w:beforeAutospacing="1" w:after="100" w:afterAutospacing="1" w:line="240" w:lineRule="auto"/>
        <w:jc w:val="both"/>
        <w:rPr>
          <w:rFonts w:ascii="Arial" w:eastAsia="Times New Roman" w:hAnsi="Arial" w:cs="Arial"/>
          <w:sz w:val="20"/>
          <w:szCs w:val="20"/>
          <w:lang w:val="en-US"/>
        </w:rPr>
      </w:pPr>
      <w:bookmarkStart w:id="7" w:name="_Hlk234257772"/>
      <w:r w:rsidRPr="0057197B">
        <w:rPr>
          <w:rFonts w:ascii="Arial" w:eastAsia="Times New Roman" w:hAnsi="Arial" w:cs="Arial"/>
          <w:sz w:val="20"/>
          <w:szCs w:val="20"/>
          <w:lang w:val="en-US"/>
        </w:rPr>
        <w:t>The temperature dependence of atmospheric partial pressures (</w:t>
      </w:r>
      <w:r w:rsidRPr="0057197B">
        <w:rPr>
          <w:rFonts w:ascii="Arial" w:eastAsia="Times New Roman" w:hAnsi="Arial" w:cs="Arial"/>
          <w:i/>
          <w:iCs/>
          <w:sz w:val="20"/>
          <w:szCs w:val="20"/>
          <w:lang w:val="en-US"/>
        </w:rPr>
        <w:t>P</w:t>
      </w:r>
      <w:r w:rsidRPr="0057197B">
        <w:rPr>
          <w:rFonts w:ascii="Arial" w:eastAsia="Times New Roman" w:hAnsi="Arial" w:cs="Arial"/>
          <w:sz w:val="20"/>
          <w:szCs w:val="20"/>
          <w:lang w:val="en-US"/>
        </w:rPr>
        <w:t xml:space="preserve">, Pa) was investigated </w:t>
      </w:r>
      <w:r w:rsidR="00FA5353" w:rsidRPr="0057197B">
        <w:rPr>
          <w:rFonts w:ascii="Arial" w:eastAsia="Times New Roman" w:hAnsi="Arial" w:cs="Arial"/>
          <w:sz w:val="20"/>
          <w:szCs w:val="20"/>
          <w:lang w:val="en-US"/>
        </w:rPr>
        <w:t xml:space="preserve">to evaluate the influence of local soil-air exchange versus long-range transport. </w:t>
      </w:r>
      <w:r w:rsidR="008F5891" w:rsidRPr="0057197B">
        <w:rPr>
          <w:rFonts w:ascii="Arial" w:eastAsia="Times New Roman" w:hAnsi="Arial" w:cs="Arial"/>
          <w:sz w:val="20"/>
          <w:szCs w:val="20"/>
          <w:lang w:val="en-US"/>
        </w:rPr>
        <w:t>To overcome the inherent limitations of categorical seasonal assessments, which can be confounded by short-term meteorological variability (e.g., anomalously warm autumn days blurring categorical boundaries), a strictly</w:t>
      </w:r>
      <w:r w:rsidR="00D453B9" w:rsidRPr="0057197B">
        <w:rPr>
          <w:rFonts w:ascii="Arial" w:eastAsia="Times New Roman" w:hAnsi="Arial" w:cs="Arial"/>
          <w:sz w:val="20"/>
          <w:szCs w:val="20"/>
          <w:lang w:val="en-US"/>
        </w:rPr>
        <w:t xml:space="preserve"> continuous</w:t>
      </w:r>
      <w:r w:rsidR="008F5891" w:rsidRPr="0057197B">
        <w:rPr>
          <w:rFonts w:ascii="Arial" w:eastAsia="Times New Roman" w:hAnsi="Arial" w:cs="Arial"/>
          <w:sz w:val="20"/>
          <w:szCs w:val="20"/>
          <w:lang w:val="en-US"/>
        </w:rPr>
        <w:t xml:space="preserve"> thermodynamic approach was prioritized. </w:t>
      </w:r>
      <w:r w:rsidR="00F96FE7">
        <w:rPr>
          <w:rFonts w:ascii="Arial" w:eastAsia="Times New Roman" w:hAnsi="Arial" w:cs="Arial"/>
          <w:sz w:val="20"/>
          <w:szCs w:val="20"/>
          <w:lang w:val="en-US"/>
        </w:rPr>
        <w:t>A</w:t>
      </w:r>
      <w:r w:rsidR="00F96FE7" w:rsidRPr="00F96FE7">
        <w:rPr>
          <w:rFonts w:ascii="Arial" w:eastAsia="Times New Roman" w:hAnsi="Arial" w:cs="Arial"/>
          <w:sz w:val="20"/>
          <w:szCs w:val="20"/>
          <w:lang w:val="en-US"/>
        </w:rPr>
        <w:t>tmospheric partial pressures were derived from the measured air concentrations (</w:t>
      </w:r>
      <w:proofErr w:type="spellStart"/>
      <w:r w:rsidR="00F96FE7">
        <w:rPr>
          <w:rFonts w:ascii="Arial" w:eastAsia="Times New Roman" w:hAnsi="Arial" w:cs="Arial"/>
          <w:sz w:val="20"/>
          <w:szCs w:val="20"/>
          <w:lang w:val="en-US"/>
        </w:rPr>
        <w:t>C</w:t>
      </w:r>
      <w:r w:rsidR="00F96FE7" w:rsidRPr="001D4722">
        <w:rPr>
          <w:rFonts w:ascii="Arial" w:eastAsia="Times New Roman" w:hAnsi="Arial" w:cs="Arial"/>
          <w:sz w:val="20"/>
          <w:szCs w:val="20"/>
          <w:vertAlign w:val="subscript"/>
          <w:lang w:val="en-US"/>
        </w:rPr>
        <w:t>gas</w:t>
      </w:r>
      <w:proofErr w:type="spellEnd"/>
      <w:r w:rsidR="00F96FE7">
        <w:rPr>
          <w:rFonts w:ascii="Arial" w:eastAsia="Times New Roman" w:hAnsi="Arial" w:cs="Arial"/>
          <w:sz w:val="20"/>
          <w:szCs w:val="20"/>
          <w:lang w:val="en-US"/>
        </w:rPr>
        <w:t>; p</w:t>
      </w:r>
      <w:r w:rsidR="00F96FE7" w:rsidRPr="00F96FE7">
        <w:rPr>
          <w:rFonts w:ascii="Arial" w:eastAsia="Times New Roman" w:hAnsi="Arial" w:cs="Arial"/>
          <w:sz w:val="20"/>
          <w:szCs w:val="20"/>
          <w:lang w:val="en-US"/>
        </w:rPr>
        <w:t>g/m³) u</w:t>
      </w:r>
      <w:r w:rsidR="006F0609">
        <w:rPr>
          <w:rFonts w:ascii="Arial" w:eastAsia="Times New Roman" w:hAnsi="Arial" w:cs="Arial"/>
          <w:sz w:val="20"/>
          <w:szCs w:val="20"/>
          <w:lang w:val="en-US"/>
        </w:rPr>
        <w:t xml:space="preserve">sing </w:t>
      </w:r>
      <w:r w:rsidR="00F96FE7" w:rsidRPr="00F96FE7">
        <w:rPr>
          <w:rFonts w:ascii="Arial" w:eastAsia="Times New Roman" w:hAnsi="Arial" w:cs="Arial"/>
          <w:sz w:val="20"/>
          <w:szCs w:val="20"/>
          <w:lang w:val="en-US"/>
        </w:rPr>
        <w:t>the ideal gas law</w:t>
      </w:r>
      <w:r w:rsidR="006F0609">
        <w:rPr>
          <w:rFonts w:ascii="Arial" w:eastAsia="Times New Roman" w:hAnsi="Arial" w:cs="Arial"/>
          <w:sz w:val="20"/>
          <w:szCs w:val="20"/>
          <w:lang w:val="en-US"/>
        </w:rPr>
        <w:t>,</w:t>
      </w:r>
      <w:r w:rsidR="006F0609" w:rsidRPr="001D4722">
        <w:rPr>
          <w:lang w:val="en-US"/>
        </w:rPr>
        <w:t xml:space="preserve"> </w:t>
      </w:r>
      <w:r w:rsidR="006F0609" w:rsidRPr="009961BF">
        <w:rPr>
          <w:rFonts w:ascii="Arial" w:eastAsia="Times New Roman" w:hAnsi="Arial" w:cs="Arial"/>
          <w:sz w:val="20"/>
          <w:szCs w:val="20"/>
          <w:lang w:val="en-US"/>
        </w:rPr>
        <w:t>expressed in terms of molar concentration</w:t>
      </w:r>
      <w:r w:rsidR="00F96FE7" w:rsidRPr="009961BF">
        <w:rPr>
          <w:rFonts w:ascii="Arial" w:eastAsia="Times New Roman" w:hAnsi="Arial" w:cs="Arial"/>
          <w:sz w:val="20"/>
          <w:szCs w:val="20"/>
          <w:lang w:val="en-US"/>
        </w:rPr>
        <w:t>:</w:t>
      </w:r>
    </w:p>
    <w:p w14:paraId="732B4CAF" w14:textId="71C3B5B0" w:rsidR="00F96FE7" w:rsidRPr="009961BF" w:rsidRDefault="00F96FE7" w:rsidP="001D4722">
      <w:pPr>
        <w:pStyle w:val="NormalWeb"/>
        <w:jc w:val="center"/>
        <w:rPr>
          <w:rFonts w:ascii="Arial" w:hAnsi="Arial" w:cs="Arial"/>
          <w:sz w:val="20"/>
          <w:szCs w:val="20"/>
          <w:lang w:eastAsia="es-ES"/>
        </w:rPr>
      </w:pPr>
      <m:oMath>
        <m:r>
          <w:rPr>
            <w:rFonts w:ascii="Cambria Math" w:hAnsi="Cambria Math" w:cs="Arial"/>
            <w:sz w:val="20"/>
            <w:szCs w:val="20"/>
            <w:lang w:eastAsia="es-ES"/>
          </w:rPr>
          <m:t xml:space="preserve">P=  </m:t>
        </m:r>
        <m:d>
          <m:dPr>
            <m:ctrlPr>
              <w:rPr>
                <w:rFonts w:ascii="Cambria Math" w:hAnsi="Cambria Math" w:cs="Arial"/>
                <w:i/>
                <w:sz w:val="20"/>
                <w:szCs w:val="20"/>
                <w:lang w:eastAsia="es-ES"/>
              </w:rPr>
            </m:ctrlPr>
          </m:dPr>
          <m:e>
            <m:f>
              <m:fPr>
                <m:ctrlPr>
                  <w:rPr>
                    <w:rFonts w:ascii="Cambria Math" w:hAnsi="Cambria Math" w:cs="Arial"/>
                    <w:i/>
                    <w:sz w:val="20"/>
                    <w:szCs w:val="20"/>
                    <w:lang w:eastAsia="es-ES"/>
                  </w:rPr>
                </m:ctrlPr>
              </m:fPr>
              <m:num>
                <m:sSub>
                  <m:sSubPr>
                    <m:ctrlPr>
                      <w:rPr>
                        <w:rFonts w:ascii="Cambria Math" w:hAnsi="Cambria Math" w:cs="Arial"/>
                        <w:i/>
                        <w:sz w:val="20"/>
                        <w:szCs w:val="20"/>
                        <w:lang w:eastAsia="es-ES"/>
                      </w:rPr>
                    </m:ctrlPr>
                  </m:sSubPr>
                  <m:e>
                    <m:r>
                      <w:rPr>
                        <w:rFonts w:ascii="Cambria Math" w:hAnsi="Cambria Math" w:cs="Arial"/>
                        <w:sz w:val="20"/>
                        <w:szCs w:val="20"/>
                        <w:lang w:eastAsia="es-ES"/>
                      </w:rPr>
                      <m:t>C</m:t>
                    </m:r>
                  </m:e>
                  <m:sub>
                    <m:r>
                      <w:rPr>
                        <w:rFonts w:ascii="Cambria Math" w:hAnsi="Cambria Math" w:cs="Arial"/>
                        <w:sz w:val="20"/>
                        <w:szCs w:val="20"/>
                        <w:lang w:eastAsia="es-ES"/>
                      </w:rPr>
                      <m:t>gas</m:t>
                    </m:r>
                  </m:sub>
                </m:sSub>
                <m:r>
                  <w:rPr>
                    <w:rFonts w:ascii="Cambria Math" w:hAnsi="Cambria Math" w:cs="Arial"/>
                    <w:sz w:val="20"/>
                    <w:szCs w:val="20"/>
                    <w:lang w:eastAsia="es-ES"/>
                  </w:rPr>
                  <m:t xml:space="preserve"> ×</m:t>
                </m:r>
                <m:sSup>
                  <m:sSupPr>
                    <m:ctrlPr>
                      <w:rPr>
                        <w:rFonts w:ascii="Cambria Math" w:hAnsi="Cambria Math" w:cs="Arial"/>
                        <w:i/>
                        <w:sz w:val="20"/>
                        <w:szCs w:val="20"/>
                        <w:lang w:eastAsia="es-ES"/>
                      </w:rPr>
                    </m:ctrlPr>
                  </m:sSupPr>
                  <m:e>
                    <m:r>
                      <w:rPr>
                        <w:rFonts w:ascii="Cambria Math" w:hAnsi="Cambria Math" w:cs="Arial"/>
                        <w:sz w:val="20"/>
                        <w:szCs w:val="20"/>
                        <w:lang w:eastAsia="es-ES"/>
                      </w:rPr>
                      <m:t xml:space="preserve"> 10</m:t>
                    </m:r>
                  </m:e>
                  <m:sup>
                    <m:r>
                      <w:rPr>
                        <w:rFonts w:ascii="Cambria Math" w:hAnsi="Cambria Math" w:cs="Arial"/>
                        <w:sz w:val="20"/>
                        <w:szCs w:val="20"/>
                        <w:lang w:eastAsia="es-ES"/>
                      </w:rPr>
                      <m:t>-12</m:t>
                    </m:r>
                  </m:sup>
                </m:sSup>
              </m:num>
              <m:den>
                <m:r>
                  <w:rPr>
                    <w:rFonts w:ascii="Cambria Math" w:hAnsi="Cambria Math" w:cs="Arial"/>
                    <w:sz w:val="20"/>
                    <w:szCs w:val="20"/>
                    <w:lang w:eastAsia="es-ES"/>
                  </w:rPr>
                  <m:t>M</m:t>
                </m:r>
              </m:den>
            </m:f>
          </m:e>
        </m:d>
        <m:r>
          <w:rPr>
            <w:rFonts w:ascii="Cambria Math" w:hAnsi="Cambria Math" w:cs="Arial"/>
            <w:sz w:val="20"/>
            <w:szCs w:val="20"/>
            <w:lang w:eastAsia="es-ES"/>
          </w:rPr>
          <m:t>×R×T</m:t>
        </m:r>
      </m:oMath>
      <w:r w:rsidRPr="009961BF">
        <w:rPr>
          <w:rFonts w:ascii="Arial" w:hAnsi="Arial" w:cs="Arial"/>
          <w:sz w:val="20"/>
          <w:szCs w:val="20"/>
          <w:lang w:eastAsia="es-ES"/>
        </w:rPr>
        <w:t xml:space="preserve">  </w:t>
      </w:r>
      <w:r w:rsidRPr="009961BF">
        <w:rPr>
          <w:rFonts w:ascii="Arial" w:hAnsi="Arial" w:cs="Arial"/>
          <w:i/>
          <w:iCs/>
          <w:sz w:val="20"/>
          <w:szCs w:val="20"/>
          <w:lang w:eastAsia="es-ES"/>
        </w:rPr>
        <w:t>(Eq. S1)</w:t>
      </w:r>
    </w:p>
    <w:p w14:paraId="110A167F" w14:textId="0D842F16" w:rsidR="00F96FE7" w:rsidRDefault="00F96FE7" w:rsidP="008F5891">
      <w:pPr>
        <w:spacing w:before="100" w:beforeAutospacing="1" w:after="100" w:afterAutospacing="1" w:line="240" w:lineRule="auto"/>
        <w:jc w:val="both"/>
        <w:rPr>
          <w:rFonts w:ascii="Arial" w:eastAsia="Times New Roman" w:hAnsi="Arial" w:cs="Arial"/>
          <w:sz w:val="20"/>
          <w:szCs w:val="20"/>
          <w:lang w:val="en-US"/>
        </w:rPr>
      </w:pPr>
      <w:r w:rsidRPr="009961BF">
        <w:rPr>
          <w:rFonts w:ascii="Arial" w:eastAsia="Times New Roman" w:hAnsi="Arial" w:cs="Arial"/>
          <w:sz w:val="20"/>
          <w:szCs w:val="20"/>
          <w:lang w:val="en-US"/>
        </w:rPr>
        <w:t>where M is the molecular weight of the specific congener (g/mol), R is the universal gas constant, and T is the average ambient temperature (K) during the sampling period</w:t>
      </w:r>
      <w:r w:rsidRPr="00F96FE7">
        <w:rPr>
          <w:rFonts w:ascii="Arial" w:eastAsia="Times New Roman" w:hAnsi="Arial" w:cs="Arial"/>
          <w:sz w:val="20"/>
          <w:szCs w:val="20"/>
          <w:lang w:val="en-US"/>
        </w:rPr>
        <w:t>.</w:t>
      </w:r>
    </w:p>
    <w:p w14:paraId="071897E4" w14:textId="03393199" w:rsidR="008F5891" w:rsidRPr="0057197B" w:rsidRDefault="00F96FE7" w:rsidP="008F5891">
      <w:pPr>
        <w:spacing w:before="100" w:beforeAutospacing="1" w:after="100" w:afterAutospacing="1" w:line="240" w:lineRule="auto"/>
        <w:jc w:val="both"/>
        <w:rPr>
          <w:rFonts w:ascii="Arial" w:eastAsia="Times New Roman" w:hAnsi="Arial" w:cs="Arial"/>
          <w:sz w:val="20"/>
          <w:szCs w:val="20"/>
          <w:lang w:val="en-US"/>
        </w:rPr>
      </w:pPr>
      <w:r w:rsidRPr="00F96FE7">
        <w:rPr>
          <w:rFonts w:ascii="Arial" w:eastAsia="Times New Roman" w:hAnsi="Arial" w:cs="Arial"/>
          <w:sz w:val="20"/>
          <w:szCs w:val="20"/>
          <w:lang w:val="en-US"/>
        </w:rPr>
        <w:t>Subsequently, the temperature dependence of these partial pressures</w:t>
      </w:r>
      <w:r w:rsidR="008F5891" w:rsidRPr="0057197B">
        <w:rPr>
          <w:rFonts w:ascii="Arial" w:eastAsia="Times New Roman" w:hAnsi="Arial" w:cs="Arial"/>
          <w:sz w:val="20"/>
          <w:szCs w:val="20"/>
          <w:lang w:val="en-US"/>
        </w:rPr>
        <w:t xml:space="preserve"> was modeled using the Clausius-Clapeyron equation:</w:t>
      </w:r>
    </w:p>
    <w:p w14:paraId="357B8308" w14:textId="1774B28A" w:rsidR="0010566B" w:rsidRPr="00F96FE7" w:rsidRDefault="00DC3ABC" w:rsidP="00DC3ABC">
      <w:pPr>
        <w:spacing w:after="0" w:line="240" w:lineRule="auto"/>
        <w:jc w:val="center"/>
        <w:rPr>
          <w:rFonts w:ascii="Arial" w:eastAsia="Times New Roman" w:hAnsi="Arial" w:cs="Arial"/>
          <w:sz w:val="20"/>
          <w:szCs w:val="20"/>
          <w:lang w:val="en-US"/>
        </w:rPr>
      </w:pPr>
      <m:oMath>
        <m:r>
          <w:rPr>
            <w:rFonts w:ascii="Cambria Math" w:eastAsia="Times New Roman" w:hAnsi="Cambria Math" w:cs="Arial"/>
            <w:sz w:val="20"/>
            <w:szCs w:val="20"/>
            <w:lang w:val="en-US"/>
          </w:rPr>
          <m:t>Ln P=-</m:t>
        </m:r>
        <m:f>
          <m:fPr>
            <m:ctrlPr>
              <w:rPr>
                <w:rFonts w:ascii="Cambria Math" w:eastAsia="Times New Roman" w:hAnsi="Cambria Math" w:cs="Arial"/>
                <w:sz w:val="20"/>
                <w:szCs w:val="20"/>
                <w:lang w:val="en-US"/>
              </w:rPr>
            </m:ctrlPr>
          </m:fPr>
          <m:num>
            <m:r>
              <w:rPr>
                <w:rFonts w:ascii="Cambria Math" w:eastAsia="Times New Roman" w:hAnsi="Cambria Math" w:cs="Arial"/>
                <w:sz w:val="20"/>
                <w:szCs w:val="20"/>
                <w:lang w:val="en-US"/>
              </w:rPr>
              <m:t>∆Hvap</m:t>
            </m:r>
          </m:num>
          <m:den>
            <m:r>
              <w:rPr>
                <w:rFonts w:ascii="Cambria Math" w:eastAsia="Times New Roman" w:hAnsi="Cambria Math" w:cs="Arial"/>
                <w:sz w:val="20"/>
                <w:szCs w:val="20"/>
                <w:lang w:val="en-US"/>
              </w:rPr>
              <m:t>R</m:t>
            </m:r>
          </m:den>
        </m:f>
        <m:d>
          <m:dPr>
            <m:ctrlPr>
              <w:rPr>
                <w:rFonts w:ascii="Cambria Math" w:eastAsia="Times New Roman" w:hAnsi="Cambria Math" w:cs="Arial"/>
                <w:i/>
                <w:sz w:val="20"/>
                <w:szCs w:val="20"/>
                <w:lang w:val="en-US"/>
              </w:rPr>
            </m:ctrlPr>
          </m:dPr>
          <m:e>
            <m:f>
              <m:fPr>
                <m:ctrlPr>
                  <w:rPr>
                    <w:rFonts w:ascii="Cambria Math" w:eastAsia="Times New Roman" w:hAnsi="Cambria Math" w:cs="Arial"/>
                    <w:i/>
                    <w:sz w:val="20"/>
                    <w:szCs w:val="20"/>
                    <w:lang w:val="en-US"/>
                  </w:rPr>
                </m:ctrlPr>
              </m:fPr>
              <m:num>
                <m:r>
                  <w:rPr>
                    <w:rFonts w:ascii="Cambria Math" w:eastAsia="Times New Roman" w:hAnsi="Cambria Math" w:cs="Arial"/>
                    <w:sz w:val="20"/>
                    <w:szCs w:val="20"/>
                    <w:lang w:val="en-US"/>
                  </w:rPr>
                  <m:t>1</m:t>
                </m:r>
              </m:num>
              <m:den>
                <m:r>
                  <w:rPr>
                    <w:rFonts w:ascii="Cambria Math" w:eastAsia="Times New Roman" w:hAnsi="Cambria Math" w:cs="Arial"/>
                    <w:sz w:val="20"/>
                    <w:szCs w:val="20"/>
                    <w:lang w:val="en-US"/>
                  </w:rPr>
                  <m:t>T</m:t>
                </m:r>
              </m:den>
            </m:f>
          </m:e>
        </m:d>
        <m:r>
          <w:rPr>
            <w:rFonts w:ascii="Cambria Math" w:eastAsia="Times New Roman" w:hAnsi="Cambria Math" w:cs="Arial"/>
            <w:sz w:val="20"/>
            <w:szCs w:val="20"/>
            <w:lang w:val="en-US"/>
          </w:rPr>
          <m:t>+b</m:t>
        </m:r>
      </m:oMath>
      <w:r w:rsidR="00C41310" w:rsidRPr="00F96FE7">
        <w:rPr>
          <w:rFonts w:ascii="Arial" w:eastAsia="Times New Roman" w:hAnsi="Arial" w:cs="Arial"/>
          <w:sz w:val="20"/>
          <w:szCs w:val="20"/>
          <w:lang w:val="en-US"/>
        </w:rPr>
        <w:t xml:space="preserve"> </w:t>
      </w:r>
      <w:r w:rsidR="00C41310" w:rsidRPr="001D4722">
        <w:rPr>
          <w:rFonts w:ascii="Arial" w:eastAsia="Times New Roman" w:hAnsi="Arial" w:cs="Arial"/>
          <w:sz w:val="20"/>
          <w:szCs w:val="20"/>
          <w:lang w:val="en-US"/>
        </w:rPr>
        <w:t xml:space="preserve"> </w:t>
      </w:r>
      <w:r w:rsidR="00C41310" w:rsidRPr="001D4722">
        <w:rPr>
          <w:rFonts w:ascii="Arial" w:eastAsia="Times New Roman" w:hAnsi="Arial" w:cs="Arial"/>
          <w:i/>
          <w:iCs/>
          <w:sz w:val="20"/>
          <w:szCs w:val="20"/>
          <w:lang w:val="en-US"/>
        </w:rPr>
        <w:t>(Eq.</w:t>
      </w:r>
      <w:r w:rsidR="00F96FE7" w:rsidRPr="001D4722">
        <w:rPr>
          <w:rFonts w:ascii="Arial" w:eastAsia="Times New Roman" w:hAnsi="Arial" w:cs="Arial"/>
          <w:i/>
          <w:iCs/>
          <w:sz w:val="20"/>
          <w:szCs w:val="20"/>
          <w:lang w:val="en-US"/>
        </w:rPr>
        <w:t xml:space="preserve"> S2</w:t>
      </w:r>
      <w:r w:rsidR="00C41310" w:rsidRPr="001D4722">
        <w:rPr>
          <w:rFonts w:ascii="Arial" w:eastAsia="Times New Roman" w:hAnsi="Arial" w:cs="Arial"/>
          <w:i/>
          <w:iCs/>
          <w:sz w:val="20"/>
          <w:szCs w:val="20"/>
          <w:lang w:val="en-US"/>
        </w:rPr>
        <w:t>)</w:t>
      </w:r>
    </w:p>
    <w:p w14:paraId="0FCE8809" w14:textId="77777777" w:rsidR="009B73FE" w:rsidRPr="00F96FE7" w:rsidRDefault="009B73FE" w:rsidP="00D453B9">
      <w:pPr>
        <w:spacing w:after="0" w:line="240" w:lineRule="auto"/>
        <w:jc w:val="both"/>
        <w:rPr>
          <w:rFonts w:ascii="Arial" w:eastAsia="Times New Roman" w:hAnsi="Arial" w:cs="Arial"/>
          <w:sz w:val="20"/>
          <w:szCs w:val="20"/>
          <w:lang w:val="en-US"/>
        </w:rPr>
      </w:pPr>
    </w:p>
    <w:p w14:paraId="7000764D" w14:textId="00A8A1C5" w:rsidR="0010566B" w:rsidRPr="0057197B" w:rsidRDefault="008F5891" w:rsidP="00D453B9">
      <w:pPr>
        <w:spacing w:after="0" w:line="240" w:lineRule="auto"/>
        <w:jc w:val="both"/>
        <w:rPr>
          <w:rFonts w:ascii="Arial" w:eastAsia="Times New Roman" w:hAnsi="Arial" w:cs="Arial"/>
          <w:sz w:val="20"/>
          <w:szCs w:val="20"/>
          <w:lang w:val="en-US"/>
        </w:rPr>
      </w:pPr>
      <w:r w:rsidRPr="0057197B">
        <w:rPr>
          <w:rFonts w:ascii="Arial" w:eastAsia="Times New Roman" w:hAnsi="Arial" w:cs="Arial"/>
          <w:sz w:val="20"/>
          <w:szCs w:val="20"/>
          <w:lang w:val="en-US"/>
        </w:rPr>
        <w:t xml:space="preserve">By relating the gas-phase partial pressure to the absolute temperature (1/T), this </w:t>
      </w:r>
      <w:r w:rsidR="00C239EA">
        <w:rPr>
          <w:rFonts w:ascii="Arial" w:eastAsia="Times New Roman" w:hAnsi="Arial" w:cs="Arial"/>
          <w:sz w:val="20"/>
          <w:szCs w:val="20"/>
          <w:lang w:val="en-US"/>
        </w:rPr>
        <w:t xml:space="preserve">approach provides insights into temperature-driven processes, such as </w:t>
      </w:r>
      <w:r w:rsidRPr="0057197B">
        <w:rPr>
          <w:rFonts w:ascii="Arial" w:eastAsia="Times New Roman" w:hAnsi="Arial" w:cs="Arial"/>
          <w:sz w:val="20"/>
          <w:szCs w:val="20"/>
          <w:lang w:val="en-US"/>
        </w:rPr>
        <w:t xml:space="preserve">secondary volatilization </w:t>
      </w:r>
      <w:r w:rsidR="00C239EA">
        <w:rPr>
          <w:rFonts w:ascii="Arial" w:eastAsia="Times New Roman" w:hAnsi="Arial" w:cs="Arial"/>
          <w:sz w:val="20"/>
          <w:szCs w:val="20"/>
          <w:lang w:val="en-US"/>
        </w:rPr>
        <w:t>from</w:t>
      </w:r>
      <w:r w:rsidRPr="0057197B">
        <w:rPr>
          <w:rFonts w:ascii="Arial" w:eastAsia="Times New Roman" w:hAnsi="Arial" w:cs="Arial"/>
          <w:sz w:val="20"/>
          <w:szCs w:val="20"/>
          <w:lang w:val="en-US"/>
        </w:rPr>
        <w:t xml:space="preserve"> local environmental reservoirs</w:t>
      </w:r>
      <w:r w:rsidR="00C239EA">
        <w:rPr>
          <w:rFonts w:ascii="Arial" w:eastAsia="Times New Roman" w:hAnsi="Arial" w:cs="Arial"/>
          <w:sz w:val="20"/>
          <w:szCs w:val="20"/>
          <w:lang w:val="en-US"/>
        </w:rPr>
        <w:t xml:space="preserve"> or the influence of regional advection</w:t>
      </w:r>
      <w:bookmarkEnd w:id="7"/>
      <w:r w:rsidRPr="0057197B">
        <w:rPr>
          <w:rFonts w:ascii="Arial" w:eastAsia="Times New Roman" w:hAnsi="Arial" w:cs="Arial"/>
          <w:sz w:val="20"/>
          <w:szCs w:val="20"/>
          <w:lang w:val="en-US"/>
        </w:rPr>
        <w:t xml:space="preserve">. In this equation, </w:t>
      </w:r>
      <w:r w:rsidR="0010566B" w:rsidRPr="0057197B">
        <w:rPr>
          <w:rFonts w:ascii="Arial" w:eastAsia="Times New Roman" w:hAnsi="Arial" w:cs="Arial"/>
          <w:i/>
          <w:iCs/>
          <w:sz w:val="20"/>
          <w:szCs w:val="20"/>
          <w:lang w:val="en-US"/>
        </w:rPr>
        <w:t>T</w:t>
      </w:r>
      <w:r w:rsidR="0010566B" w:rsidRPr="0057197B">
        <w:rPr>
          <w:rFonts w:ascii="Arial" w:eastAsia="Times New Roman" w:hAnsi="Arial" w:cs="Arial"/>
          <w:sz w:val="20"/>
          <w:szCs w:val="20"/>
          <w:lang w:val="en-US"/>
        </w:rPr>
        <w:t xml:space="preserve"> is the ambient temperature (K), </w:t>
      </w:r>
      <w:r w:rsidR="0010566B" w:rsidRPr="0057197B">
        <w:rPr>
          <w:rFonts w:ascii="Arial" w:eastAsia="Times New Roman" w:hAnsi="Arial" w:cs="Arial"/>
          <w:i/>
          <w:iCs/>
          <w:sz w:val="20"/>
          <w:szCs w:val="20"/>
          <w:lang w:val="en-US"/>
        </w:rPr>
        <w:t>R</w:t>
      </w:r>
      <w:r w:rsidR="0010566B" w:rsidRPr="0057197B">
        <w:rPr>
          <w:rFonts w:ascii="Arial" w:eastAsia="Times New Roman" w:hAnsi="Arial" w:cs="Arial"/>
          <w:sz w:val="20"/>
          <w:szCs w:val="20"/>
          <w:lang w:val="en-US"/>
        </w:rPr>
        <w:t xml:space="preserve"> is the ideal gas constant (8.314 x 10-3, kJ/mol K),</w:t>
      </w:r>
      <w:r w:rsidR="002C1EBE" w:rsidRPr="0057197B">
        <w:rPr>
          <w:rFonts w:ascii="Arial" w:eastAsia="Times New Roman" w:hAnsi="Arial" w:cs="Arial"/>
          <w:sz w:val="20"/>
          <w:szCs w:val="20"/>
          <w:lang w:val="en-US"/>
        </w:rPr>
        <w:t xml:space="preserve"> </w:t>
      </w:r>
      <w:r w:rsidR="00FA5353" w:rsidRPr="0057197B">
        <w:rPr>
          <w:rFonts w:ascii="Arial" w:eastAsia="Times New Roman" w:hAnsi="Arial" w:cs="Arial"/>
          <w:sz w:val="20"/>
          <w:szCs w:val="20"/>
          <w:lang w:val="en-US"/>
        </w:rPr>
        <w:t xml:space="preserve">and </w:t>
      </w:r>
      <w:r w:rsidR="009B73FE">
        <w:rPr>
          <w:rFonts w:ascii="Arial" w:eastAsia="Times New Roman" w:hAnsi="Arial" w:cs="Arial"/>
          <w:sz w:val="20"/>
          <w:szCs w:val="20"/>
          <w:lang w:val="en-US"/>
        </w:rPr>
        <w:t>∆</w:t>
      </w:r>
      <w:r w:rsidR="0010566B" w:rsidRPr="0057197B">
        <w:rPr>
          <w:rFonts w:ascii="Arial" w:eastAsia="Times New Roman" w:hAnsi="Arial" w:cs="Arial"/>
          <w:sz w:val="20"/>
          <w:szCs w:val="20"/>
          <w:lang w:val="en-US"/>
        </w:rPr>
        <w:t>H (kJ/mol) represents the apparent enthalpy of</w:t>
      </w:r>
      <w:r w:rsidR="003E7133" w:rsidRPr="0057197B">
        <w:rPr>
          <w:rFonts w:ascii="Arial" w:eastAsia="Times New Roman" w:hAnsi="Arial" w:cs="Arial"/>
          <w:sz w:val="20"/>
          <w:szCs w:val="20"/>
          <w:lang w:val="en-US"/>
        </w:rPr>
        <w:t xml:space="preserve"> vaporization (or desorption). Li</w:t>
      </w:r>
      <w:r w:rsidR="0010566B" w:rsidRPr="0057197B">
        <w:rPr>
          <w:rFonts w:ascii="Arial" w:eastAsia="Times New Roman" w:hAnsi="Arial" w:cs="Arial"/>
          <w:sz w:val="20"/>
          <w:szCs w:val="20"/>
          <w:lang w:val="en-US"/>
        </w:rPr>
        <w:t xml:space="preserve">near regressions </w:t>
      </w:r>
      <w:r w:rsidR="003E7133" w:rsidRPr="0057197B">
        <w:rPr>
          <w:rFonts w:ascii="Arial" w:eastAsia="Times New Roman" w:hAnsi="Arial" w:cs="Arial"/>
          <w:sz w:val="20"/>
          <w:szCs w:val="20"/>
          <w:lang w:val="en-US"/>
        </w:rPr>
        <w:t xml:space="preserve">of </w:t>
      </w:r>
      <w:r w:rsidR="003E7133" w:rsidRPr="0057197B">
        <w:rPr>
          <w:rFonts w:ascii="Arial" w:eastAsia="Times New Roman" w:hAnsi="Arial" w:cs="Arial"/>
          <w:i/>
          <w:iCs/>
          <w:sz w:val="20"/>
          <w:szCs w:val="20"/>
          <w:lang w:val="en-US"/>
        </w:rPr>
        <w:t>Ln P</w:t>
      </w:r>
      <w:r w:rsidR="003E7133" w:rsidRPr="0057197B">
        <w:rPr>
          <w:rFonts w:ascii="Arial" w:eastAsia="Times New Roman" w:hAnsi="Arial" w:cs="Arial"/>
          <w:sz w:val="20"/>
          <w:szCs w:val="20"/>
          <w:lang w:val="en-US"/>
        </w:rPr>
        <w:t xml:space="preserve"> vs. 1/T </w:t>
      </w:r>
      <w:r w:rsidR="0010566B" w:rsidRPr="0057197B">
        <w:rPr>
          <w:rFonts w:ascii="Arial" w:eastAsia="Times New Roman" w:hAnsi="Arial" w:cs="Arial"/>
          <w:sz w:val="20"/>
          <w:szCs w:val="20"/>
          <w:lang w:val="en-US"/>
        </w:rPr>
        <w:t xml:space="preserve">were performed for each analyte </w:t>
      </w:r>
      <w:r w:rsidR="003E7133" w:rsidRPr="0057197B">
        <w:rPr>
          <w:rFonts w:ascii="Arial" w:eastAsia="Times New Roman" w:hAnsi="Arial" w:cs="Arial"/>
          <w:sz w:val="20"/>
          <w:szCs w:val="20"/>
          <w:lang w:val="en-US"/>
        </w:rPr>
        <w:t>at</w:t>
      </w:r>
      <w:r w:rsidR="0010566B" w:rsidRPr="0057197B">
        <w:rPr>
          <w:rFonts w:ascii="Arial" w:eastAsia="Times New Roman" w:hAnsi="Arial" w:cs="Arial"/>
          <w:sz w:val="20"/>
          <w:szCs w:val="20"/>
          <w:lang w:val="en-US"/>
        </w:rPr>
        <w:t xml:space="preserve"> each sampling site</w:t>
      </w:r>
      <w:r w:rsidRPr="0057197B">
        <w:rPr>
          <w:rFonts w:ascii="Arial" w:eastAsia="Times New Roman" w:hAnsi="Arial" w:cs="Arial"/>
          <w:sz w:val="20"/>
          <w:szCs w:val="20"/>
          <w:lang w:val="en-US"/>
        </w:rPr>
        <w:t>.</w:t>
      </w:r>
      <w:r w:rsidR="00E871C8">
        <w:rPr>
          <w:rFonts w:ascii="Arial" w:eastAsia="Times New Roman" w:hAnsi="Arial" w:cs="Arial"/>
          <w:sz w:val="20"/>
          <w:szCs w:val="20"/>
          <w:lang w:val="en-US"/>
        </w:rPr>
        <w:t xml:space="preserve"> </w:t>
      </w:r>
      <w:r w:rsidR="00E871C8" w:rsidRPr="00E871C8">
        <w:rPr>
          <w:rFonts w:ascii="Arial" w:eastAsia="Times New Roman" w:hAnsi="Arial" w:cs="Arial"/>
          <w:sz w:val="20"/>
          <w:szCs w:val="20"/>
          <w:lang w:val="en-US"/>
        </w:rPr>
        <w:t>It should be noted that the CC approach carries an inherent mechanistic ambiguity, as positive slopes (higher partial pressures at lower ambient temperatures) can arise from both local winter primary emissions (e.g., combustion or domestic heating) and the advection of cold, contaminated air masses via LRAT. To resolve this ambiguity, CC slope interpretations in this study were cross-examined with spatial urban-remote concentration gradients</w:t>
      </w:r>
      <w:r w:rsidR="00CA4EF2">
        <w:rPr>
          <w:rFonts w:ascii="Arial" w:eastAsia="Times New Roman" w:hAnsi="Arial" w:cs="Arial"/>
          <w:sz w:val="20"/>
          <w:szCs w:val="20"/>
          <w:lang w:val="en-US"/>
        </w:rPr>
        <w:t>.</w:t>
      </w:r>
    </w:p>
    <w:p w14:paraId="23EB77BE" w14:textId="72622641" w:rsidR="00032B71" w:rsidRPr="0057197B" w:rsidRDefault="00032B71" w:rsidP="00032B71">
      <w:pPr>
        <w:spacing w:before="100" w:beforeAutospacing="1" w:after="100" w:afterAutospacing="1" w:line="240" w:lineRule="auto"/>
        <w:rPr>
          <w:rFonts w:ascii="Arial" w:eastAsia="Times New Roman" w:hAnsi="Arial" w:cs="Arial"/>
          <w:b/>
          <w:bCs/>
          <w:sz w:val="20"/>
          <w:szCs w:val="20"/>
          <w:lang w:val="en-US"/>
        </w:rPr>
      </w:pPr>
      <w:r w:rsidRPr="0057197B">
        <w:rPr>
          <w:rFonts w:ascii="Arial" w:eastAsia="Times New Roman" w:hAnsi="Arial" w:cs="Arial"/>
          <w:b/>
          <w:bCs/>
          <w:sz w:val="20"/>
          <w:szCs w:val="20"/>
          <w:lang w:val="en-US"/>
        </w:rPr>
        <w:t>Detection and quantification of temporal trends</w:t>
      </w:r>
    </w:p>
    <w:p w14:paraId="46115791" w14:textId="25DE4ABA" w:rsidR="00032B71" w:rsidRPr="0057197B" w:rsidRDefault="00032B71" w:rsidP="00032B71">
      <w:pPr>
        <w:pStyle w:val="NormalWeb"/>
        <w:jc w:val="both"/>
        <w:rPr>
          <w:rFonts w:ascii="Arial" w:hAnsi="Arial" w:cs="Arial"/>
          <w:sz w:val="20"/>
          <w:szCs w:val="20"/>
        </w:rPr>
      </w:pPr>
      <w:r w:rsidRPr="0057197B">
        <w:rPr>
          <w:rFonts w:ascii="Arial" w:hAnsi="Arial" w:cs="Arial"/>
          <w:sz w:val="20"/>
          <w:szCs w:val="20"/>
        </w:rPr>
        <w:t>For the detection and quantification of temporal trends, a systematic multi-step workflow was implemented</w:t>
      </w:r>
      <w:r w:rsidR="002C1EBE" w:rsidRPr="0057197B">
        <w:rPr>
          <w:rFonts w:ascii="Arial" w:hAnsi="Arial" w:cs="Arial"/>
          <w:sz w:val="20"/>
          <w:szCs w:val="20"/>
        </w:rPr>
        <w:t xml:space="preserve"> following the Global Monitoring Plan</w:t>
      </w:r>
      <w:r w:rsidR="00942CCF">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"/>
          <w:id w:val="-1116664793"/>
          <w:placeholder>
            <w:docPart w:val="DefaultPlaceholder_-1854013440"/>
          </w:placeholder>
        </w:sdtPr>
        <w:sdtEndPr/>
        <w:sdtContent>
          <w:r w:rsidR="006150C1" w:rsidRPr="006150C1">
            <w:rPr>
              <w:rFonts w:ascii="Arial" w:hAnsi="Arial" w:cs="Arial"/>
              <w:color w:val="000000"/>
              <w:sz w:val="20"/>
              <w:szCs w:val="20"/>
            </w:rPr>
            <w:t>(UNEP, 2025)</w:t>
          </w:r>
        </w:sdtContent>
      </w:sdt>
      <w:r w:rsidR="002C1EBE" w:rsidRPr="0057197B">
        <w:rPr>
          <w:rFonts w:ascii="Arial" w:hAnsi="Arial" w:cs="Arial"/>
          <w:sz w:val="20"/>
          <w:szCs w:val="20"/>
        </w:rPr>
        <w:t xml:space="preserve"> </w:t>
      </w:r>
      <w:r w:rsidR="006F7E05" w:rsidRPr="0057197B">
        <w:rPr>
          <w:rFonts w:ascii="Arial" w:hAnsi="Arial" w:cs="Arial"/>
          <w:sz w:val="20"/>
          <w:szCs w:val="20"/>
        </w:rPr>
        <w:t>recommendations</w:t>
      </w:r>
      <w:r w:rsidRPr="0057197B">
        <w:rPr>
          <w:rFonts w:ascii="Arial" w:hAnsi="Arial" w:cs="Arial"/>
          <w:sz w:val="20"/>
          <w:szCs w:val="20"/>
        </w:rPr>
        <w:t>:</w:t>
      </w:r>
    </w:p>
    <w:p w14:paraId="22592806" w14:textId="061F4348" w:rsidR="00032B71" w:rsidRPr="0057197B" w:rsidRDefault="00D453B9" w:rsidP="0057197B">
      <w:pPr>
        <w:pStyle w:val="NormalWeb"/>
        <w:numPr>
          <w:ilvl w:val="0"/>
          <w:numId w:val="4"/>
        </w:numPr>
        <w:jc w:val="both"/>
        <w:rPr>
          <w:rFonts w:ascii="Arial" w:hAnsi="Arial" w:cs="Arial"/>
          <w:sz w:val="20"/>
          <w:szCs w:val="20"/>
        </w:rPr>
      </w:pPr>
      <w:r w:rsidRPr="0057197B">
        <w:rPr>
          <w:rFonts w:ascii="Arial" w:hAnsi="Arial" w:cs="Arial"/>
          <w:sz w:val="20"/>
          <w:szCs w:val="20"/>
        </w:rPr>
        <w:t>P</w:t>
      </w:r>
      <w:r w:rsidR="00032B71" w:rsidRPr="0057197B">
        <w:rPr>
          <w:rFonts w:ascii="Arial" w:hAnsi="Arial" w:cs="Arial"/>
          <w:sz w:val="20"/>
          <w:szCs w:val="20"/>
        </w:rPr>
        <w:t>re-processing</w:t>
      </w:r>
      <w:r w:rsidRPr="0057197B">
        <w:rPr>
          <w:rFonts w:ascii="Arial" w:hAnsi="Arial" w:cs="Arial"/>
          <w:sz w:val="20"/>
          <w:szCs w:val="20"/>
        </w:rPr>
        <w:t>:</w:t>
      </w:r>
      <w:r w:rsidR="00032B71" w:rsidRPr="0057197B">
        <w:rPr>
          <w:rFonts w:ascii="Arial" w:hAnsi="Arial" w:cs="Arial"/>
          <w:sz w:val="20"/>
          <w:szCs w:val="20"/>
        </w:rPr>
        <w:t xml:space="preserve"> Primary data were </w:t>
      </w:r>
      <w:r w:rsidR="00032B71" w:rsidRPr="0057197B">
        <w:rPr>
          <w:rStyle w:val="math-inline"/>
          <w:rFonts w:ascii="Arial" w:hAnsi="Arial" w:cs="Arial"/>
          <w:sz w:val="20"/>
          <w:szCs w:val="20"/>
        </w:rPr>
        <w:t xml:space="preserve">log10 </w:t>
      </w:r>
      <w:r w:rsidR="00032B71" w:rsidRPr="0057197B">
        <w:rPr>
          <w:rFonts w:ascii="Arial" w:hAnsi="Arial" w:cs="Arial"/>
          <w:sz w:val="20"/>
          <w:szCs w:val="20"/>
        </w:rPr>
        <w:t>transformed to stabilize variance</w:t>
      </w:r>
      <w:r w:rsidR="002C1EBE" w:rsidRPr="0057197B">
        <w:rPr>
          <w:rFonts w:ascii="Arial" w:hAnsi="Arial" w:cs="Arial"/>
          <w:sz w:val="20"/>
          <w:szCs w:val="20"/>
        </w:rPr>
        <w:t xml:space="preserve"> and approximate a first-order </w:t>
      </w:r>
      <w:r w:rsidRPr="0057197B">
        <w:rPr>
          <w:rFonts w:ascii="Arial" w:hAnsi="Arial" w:cs="Arial"/>
          <w:sz w:val="20"/>
          <w:szCs w:val="20"/>
        </w:rPr>
        <w:t>kinetic change</w:t>
      </w:r>
      <w:r w:rsidR="00032B71" w:rsidRPr="0057197B">
        <w:rPr>
          <w:rFonts w:ascii="Arial" w:hAnsi="Arial" w:cs="Arial"/>
          <w:sz w:val="20"/>
          <w:szCs w:val="20"/>
        </w:rPr>
        <w:t>. Annual medians were then calculated</w:t>
      </w:r>
      <w:r w:rsidRPr="0057197B">
        <w:rPr>
          <w:rFonts w:ascii="Arial" w:hAnsi="Arial" w:cs="Arial"/>
          <w:sz w:val="20"/>
          <w:szCs w:val="20"/>
        </w:rPr>
        <w:t xml:space="preserve"> to </w:t>
      </w:r>
      <w:r w:rsidR="00032B71" w:rsidRPr="0057197B">
        <w:rPr>
          <w:rFonts w:ascii="Arial" w:hAnsi="Arial" w:cs="Arial"/>
          <w:sz w:val="20"/>
          <w:szCs w:val="20"/>
        </w:rPr>
        <w:t>reduc</w:t>
      </w:r>
      <w:r w:rsidRPr="0057197B">
        <w:rPr>
          <w:rFonts w:ascii="Arial" w:hAnsi="Arial" w:cs="Arial"/>
          <w:sz w:val="20"/>
          <w:szCs w:val="20"/>
        </w:rPr>
        <w:t>e</w:t>
      </w:r>
      <w:r w:rsidR="00032B71" w:rsidRPr="0057197B">
        <w:rPr>
          <w:rFonts w:ascii="Arial" w:hAnsi="Arial" w:cs="Arial"/>
          <w:sz w:val="20"/>
          <w:szCs w:val="20"/>
        </w:rPr>
        <w:t xml:space="preserve"> the influence of short-term fluctuations</w:t>
      </w:r>
      <w:r w:rsidRPr="0057197B">
        <w:rPr>
          <w:rFonts w:ascii="Arial" w:hAnsi="Arial" w:cs="Arial"/>
          <w:sz w:val="20"/>
          <w:szCs w:val="20"/>
        </w:rPr>
        <w:t xml:space="preserve"> and n</w:t>
      </w:r>
      <w:r w:rsidR="00032B71" w:rsidRPr="0057197B">
        <w:rPr>
          <w:rFonts w:ascii="Arial" w:hAnsi="Arial" w:cs="Arial"/>
          <w:sz w:val="20"/>
          <w:szCs w:val="20"/>
        </w:rPr>
        <w:t>ormality was verified using the Shapiro-Wilk test (</w:t>
      </w:r>
      <w:r w:rsidR="00032B71" w:rsidRPr="0057197B">
        <w:rPr>
          <w:rStyle w:val="math-inline"/>
          <w:rFonts w:ascii="Arial" w:hAnsi="Arial" w:cs="Arial"/>
          <w:sz w:val="20"/>
          <w:szCs w:val="20"/>
        </w:rPr>
        <w:t>n &lt; 50</w:t>
      </w:r>
      <w:r w:rsidR="00032B71" w:rsidRPr="0057197B">
        <w:rPr>
          <w:rFonts w:ascii="Arial" w:hAnsi="Arial" w:cs="Arial"/>
          <w:sz w:val="20"/>
          <w:szCs w:val="20"/>
        </w:rPr>
        <w:t>).</w:t>
      </w:r>
    </w:p>
    <w:p w14:paraId="5161398F" w14:textId="51DFCADA" w:rsidR="00032B71" w:rsidRPr="0057197B" w:rsidRDefault="00032B71" w:rsidP="00032B71">
      <w:pPr>
        <w:pStyle w:val="NormalWeb"/>
        <w:numPr>
          <w:ilvl w:val="0"/>
          <w:numId w:val="4"/>
        </w:numPr>
        <w:jc w:val="both"/>
        <w:rPr>
          <w:rFonts w:ascii="Arial" w:hAnsi="Arial" w:cs="Arial"/>
          <w:sz w:val="20"/>
          <w:szCs w:val="20"/>
        </w:rPr>
      </w:pPr>
      <w:r w:rsidRPr="0057197B">
        <w:rPr>
          <w:rFonts w:ascii="Arial" w:hAnsi="Arial" w:cs="Arial"/>
          <w:sz w:val="20"/>
          <w:szCs w:val="20"/>
        </w:rPr>
        <w:t xml:space="preserve">Trend Identification: </w:t>
      </w:r>
      <w:r w:rsidR="00D453B9" w:rsidRPr="0057197B">
        <w:rPr>
          <w:rFonts w:ascii="Arial" w:hAnsi="Arial" w:cs="Arial"/>
          <w:sz w:val="20"/>
          <w:szCs w:val="20"/>
        </w:rPr>
        <w:t>S</w:t>
      </w:r>
      <w:r w:rsidRPr="0057197B">
        <w:rPr>
          <w:rFonts w:ascii="Arial" w:hAnsi="Arial" w:cs="Arial"/>
          <w:sz w:val="20"/>
          <w:szCs w:val="20"/>
        </w:rPr>
        <w:t>ignificant trends w</w:t>
      </w:r>
      <w:r w:rsidR="00D453B9" w:rsidRPr="0057197B">
        <w:rPr>
          <w:rFonts w:ascii="Arial" w:hAnsi="Arial" w:cs="Arial"/>
          <w:sz w:val="20"/>
          <w:szCs w:val="20"/>
        </w:rPr>
        <w:t>ere</w:t>
      </w:r>
      <w:r w:rsidRPr="0057197B">
        <w:rPr>
          <w:rFonts w:ascii="Arial" w:hAnsi="Arial" w:cs="Arial"/>
          <w:sz w:val="20"/>
          <w:szCs w:val="20"/>
        </w:rPr>
        <w:t xml:space="preserve"> identified using Pearson correlation (</w:t>
      </w:r>
      <w:r w:rsidR="00D453B9" w:rsidRPr="0057197B">
        <w:rPr>
          <w:rFonts w:ascii="Arial" w:hAnsi="Arial" w:cs="Arial"/>
          <w:sz w:val="20"/>
          <w:szCs w:val="20"/>
        </w:rPr>
        <w:t xml:space="preserve">for normally distributed </w:t>
      </w:r>
      <w:r w:rsidRPr="0057197B">
        <w:rPr>
          <w:rFonts w:ascii="Arial" w:hAnsi="Arial" w:cs="Arial"/>
          <w:sz w:val="20"/>
          <w:szCs w:val="20"/>
        </w:rPr>
        <w:t>residuals</w:t>
      </w:r>
      <w:r w:rsidR="00C316BA" w:rsidRPr="0057197B">
        <w:rPr>
          <w:rFonts w:ascii="Arial" w:hAnsi="Arial" w:cs="Arial"/>
          <w:sz w:val="20"/>
          <w:szCs w:val="20"/>
        </w:rPr>
        <w:t>)</w:t>
      </w:r>
      <w:r w:rsidRPr="0057197B">
        <w:rPr>
          <w:rFonts w:ascii="Arial" w:hAnsi="Arial" w:cs="Arial"/>
          <w:sz w:val="20"/>
          <w:szCs w:val="20"/>
        </w:rPr>
        <w:t xml:space="preserve"> or the non-parametric Mann-Kendall test.</w:t>
      </w:r>
    </w:p>
    <w:p w14:paraId="19E9F273" w14:textId="3F07D02B" w:rsidR="00032B71" w:rsidRPr="0057197B" w:rsidRDefault="00032B71" w:rsidP="00032B71">
      <w:pPr>
        <w:pStyle w:val="NormalWeb"/>
        <w:numPr>
          <w:ilvl w:val="0"/>
          <w:numId w:val="4"/>
        </w:numPr>
        <w:jc w:val="both"/>
        <w:rPr>
          <w:rFonts w:ascii="Arial" w:hAnsi="Arial" w:cs="Arial"/>
          <w:sz w:val="20"/>
          <w:szCs w:val="20"/>
        </w:rPr>
      </w:pPr>
      <w:r w:rsidRPr="0057197B">
        <w:rPr>
          <w:rFonts w:ascii="Arial" w:hAnsi="Arial" w:cs="Arial"/>
          <w:sz w:val="20"/>
          <w:szCs w:val="20"/>
        </w:rPr>
        <w:t xml:space="preserve">Quantification: </w:t>
      </w:r>
      <w:r w:rsidR="00C316BA" w:rsidRPr="0057197B">
        <w:rPr>
          <w:rFonts w:ascii="Arial" w:hAnsi="Arial" w:cs="Arial"/>
          <w:sz w:val="20"/>
          <w:szCs w:val="20"/>
        </w:rPr>
        <w:t>Trends were modeled using</w:t>
      </w:r>
      <w:r w:rsidRPr="0057197B">
        <w:rPr>
          <w:rFonts w:ascii="Arial" w:hAnsi="Arial" w:cs="Arial"/>
          <w:sz w:val="20"/>
          <w:szCs w:val="20"/>
        </w:rPr>
        <w:t xml:space="preserve"> predictive models: Simple Linear Regression (SLR) for parametric data or the Theil-Sen estimator for non-parametric series.</w:t>
      </w:r>
    </w:p>
    <w:p w14:paraId="7FB77D4F" w14:textId="257A374B" w:rsidR="00986C79" w:rsidRDefault="00032B71" w:rsidP="00CC21D5">
      <w:pPr>
        <w:pStyle w:val="NormalWeb"/>
        <w:numPr>
          <w:ilvl w:val="0"/>
          <w:numId w:val="4"/>
        </w:numPr>
        <w:jc w:val="both"/>
        <w:rPr>
          <w:rFonts w:ascii="Arial" w:hAnsi="Arial" w:cs="Arial"/>
          <w:sz w:val="20"/>
          <w:szCs w:val="20"/>
        </w:rPr>
      </w:pPr>
      <w:r w:rsidRPr="0057197B">
        <w:rPr>
          <w:rFonts w:ascii="Arial" w:hAnsi="Arial" w:cs="Arial"/>
          <w:sz w:val="20"/>
          <w:szCs w:val="20"/>
        </w:rPr>
        <w:t xml:space="preserve">Environmental rates and </w:t>
      </w:r>
      <w:r w:rsidR="00C316BA" w:rsidRPr="0057197B">
        <w:rPr>
          <w:rFonts w:ascii="Arial" w:hAnsi="Arial" w:cs="Arial"/>
          <w:sz w:val="20"/>
          <w:szCs w:val="20"/>
        </w:rPr>
        <w:t>power analysis</w:t>
      </w:r>
      <w:r w:rsidRPr="0057197B">
        <w:rPr>
          <w:rFonts w:ascii="Arial" w:hAnsi="Arial" w:cs="Arial"/>
          <w:sz w:val="20"/>
          <w:szCs w:val="20"/>
        </w:rPr>
        <w:t xml:space="preserve">: For each significant trend, the Annual Percentage Change (APC, %) and </w:t>
      </w:r>
      <w:r w:rsidR="00C316BA" w:rsidRPr="0057197B">
        <w:rPr>
          <w:rFonts w:ascii="Arial" w:hAnsi="Arial" w:cs="Arial"/>
          <w:sz w:val="20"/>
          <w:szCs w:val="20"/>
        </w:rPr>
        <w:t xml:space="preserve">environmental </w:t>
      </w:r>
      <w:r w:rsidRPr="0057197B">
        <w:rPr>
          <w:rFonts w:ascii="Arial" w:hAnsi="Arial" w:cs="Arial"/>
          <w:sz w:val="20"/>
          <w:szCs w:val="20"/>
        </w:rPr>
        <w:t>half-lives (</w:t>
      </w:r>
      <w:r w:rsidRPr="0057197B">
        <w:rPr>
          <w:rStyle w:val="math-inline"/>
          <w:rFonts w:ascii="Arial" w:hAnsi="Arial" w:cs="Arial"/>
          <w:sz w:val="20"/>
          <w:szCs w:val="20"/>
        </w:rPr>
        <w:t>t</w:t>
      </w:r>
      <w:r w:rsidRPr="0057197B">
        <w:rPr>
          <w:rStyle w:val="math-inline"/>
          <w:rFonts w:ascii="Arial" w:hAnsi="Arial" w:cs="Arial"/>
          <w:sz w:val="20"/>
          <w:szCs w:val="20"/>
          <w:vertAlign w:val="subscript"/>
        </w:rPr>
        <w:t>1</w:t>
      </w:r>
      <w:r w:rsidR="002C1EBE" w:rsidRPr="0057197B">
        <w:rPr>
          <w:rStyle w:val="math-inline"/>
          <w:rFonts w:ascii="Arial" w:hAnsi="Arial" w:cs="Arial"/>
          <w:sz w:val="20"/>
          <w:szCs w:val="20"/>
          <w:vertAlign w:val="subscript"/>
        </w:rPr>
        <w:t>/2</w:t>
      </w:r>
      <w:r w:rsidRPr="0057197B">
        <w:rPr>
          <w:rFonts w:ascii="Arial" w:hAnsi="Arial" w:cs="Arial"/>
          <w:sz w:val="20"/>
          <w:szCs w:val="20"/>
        </w:rPr>
        <w:t xml:space="preserve">) were calculated from the regression slopes. To </w:t>
      </w:r>
      <w:r w:rsidR="00C316BA" w:rsidRPr="0057197B">
        <w:rPr>
          <w:rFonts w:ascii="Arial" w:hAnsi="Arial" w:cs="Arial"/>
          <w:sz w:val="20"/>
          <w:szCs w:val="20"/>
        </w:rPr>
        <w:t xml:space="preserve">minimize Type II errors, a </w:t>
      </w:r>
      <w:r w:rsidRPr="0057197B">
        <w:rPr>
          <w:rFonts w:ascii="Arial" w:hAnsi="Arial" w:cs="Arial"/>
          <w:sz w:val="20"/>
          <w:szCs w:val="20"/>
        </w:rPr>
        <w:t>statistical power analysis was performed</w:t>
      </w:r>
      <w:r w:rsidR="00C316BA" w:rsidRPr="0057197B">
        <w:rPr>
          <w:rFonts w:ascii="Arial" w:hAnsi="Arial" w:cs="Arial"/>
          <w:sz w:val="20"/>
          <w:szCs w:val="20"/>
        </w:rPr>
        <w:t xml:space="preserve"> following </w:t>
      </w:r>
      <w:r w:rsidR="002C1EBE" w:rsidRPr="0057197B">
        <w:rPr>
          <w:rFonts w:ascii="Arial" w:hAnsi="Arial" w:cs="Arial"/>
          <w:sz w:val="20"/>
          <w:szCs w:val="20"/>
        </w:rPr>
        <w:t xml:space="preserve">Arctic Monitoring and Assessment Programme </w:t>
      </w:r>
      <w:sdt>
        <w:sdtPr>
          <w:rPr>
            <w:rFonts w:ascii="Arial" w:hAnsi="Arial" w:cs="Arial"/>
            <w:color w:val="000000"/>
            <w:sz w:val="20"/>
            <w:szCs w:val="20"/>
          </w:rPr>
          <w:tag w:val="MENDELEY_CITATION_v3_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"/>
          <w:id w:val="519353459"/>
          <w:placeholder>
            <w:docPart w:val="DefaultPlaceholder_-1854013440"/>
          </w:placeholder>
        </w:sdtPr>
        <w:sdtEndPr/>
        <w:sdtContent>
          <w:r w:rsidR="006150C1" w:rsidRPr="006150C1">
            <w:rPr>
              <w:rFonts w:ascii="Arial" w:hAnsi="Arial" w:cs="Arial"/>
              <w:color w:val="000000"/>
              <w:sz w:val="20"/>
            </w:rPr>
            <w:t>(AMAP, 2014)</w:t>
          </w:r>
        </w:sdtContent>
      </w:sdt>
      <w:r w:rsidR="002C1EBE" w:rsidRPr="0057197B">
        <w:rPr>
          <w:rFonts w:ascii="Arial" w:hAnsi="Arial" w:cs="Arial"/>
          <w:sz w:val="20"/>
          <w:szCs w:val="20"/>
        </w:rPr>
        <w:t xml:space="preserve"> and the </w:t>
      </w:r>
      <w:sdt>
        <w:sdtPr>
          <w:rPr>
            <w:rFonts w:ascii="Arial" w:hAnsi="Arial" w:cs="Arial"/>
            <w:color w:val="000000"/>
            <w:sz w:val="20"/>
            <w:szCs w:val="20"/>
          </w:rPr>
          <w:tag w:val="MENDELEY_CITATION_v3_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"/>
          <w:id w:val="-203714418"/>
          <w:placeholder>
            <w:docPart w:val="DefaultPlaceholder_-1854013440"/>
          </w:placeholder>
        </w:sdtPr>
        <w:sdtEndPr/>
        <w:sdtContent>
          <w:r w:rsidR="006150C1" w:rsidRPr="006150C1">
            <w:rPr>
              <w:rFonts w:ascii="Arial" w:hAnsi="Arial" w:cs="Arial"/>
              <w:color w:val="000000"/>
              <w:sz w:val="20"/>
              <w:szCs w:val="20"/>
            </w:rPr>
            <w:t>OSPAR (2023)</w:t>
          </w:r>
        </w:sdtContent>
      </w:sdt>
      <w:r w:rsidR="00EA4048">
        <w:rPr>
          <w:rFonts w:ascii="Arial" w:hAnsi="Arial" w:cs="Arial"/>
          <w:sz w:val="20"/>
          <w:szCs w:val="20"/>
        </w:rPr>
        <w:t xml:space="preserve"> </w:t>
      </w:r>
      <w:r w:rsidR="00C316BA" w:rsidRPr="0057197B">
        <w:rPr>
          <w:rFonts w:ascii="Arial" w:hAnsi="Arial" w:cs="Arial"/>
          <w:sz w:val="20"/>
          <w:szCs w:val="20"/>
        </w:rPr>
        <w:t xml:space="preserve">protocols. </w:t>
      </w:r>
      <w:r w:rsidR="00986C79" w:rsidRPr="00986C79">
        <w:rPr>
          <w:rFonts w:ascii="Arial" w:hAnsi="Arial" w:cs="Arial"/>
          <w:sz w:val="20"/>
          <w:szCs w:val="20"/>
        </w:rPr>
        <w:t>While a target power of 0.80 was prioritized, trends with a power between 0.50 and 0.80 were also considered informative and are explicitly discussed in the results.</w:t>
      </w:r>
    </w:p>
    <w:p w14:paraId="4CBA455F" w14:textId="77777777" w:rsidR="00C11732" w:rsidRPr="0057197B" w:rsidRDefault="00C11732" w:rsidP="00C11732">
      <w:pPr>
        <w:jc w:val="center"/>
        <w:rPr>
          <w:rFonts w:ascii="Arial" w:eastAsia="Times New Roman" w:hAnsi="Arial" w:cs="Arial"/>
          <w:sz w:val="20"/>
          <w:szCs w:val="20"/>
          <w:lang w:val="en-US"/>
        </w:rPr>
      </w:pPr>
      <w:r w:rsidRPr="0057197B">
        <w:rPr>
          <w:rFonts w:ascii="Arial" w:eastAsia="Times New Roman" w:hAnsi="Arial" w:cs="Arial"/>
          <w:noProof/>
          <w:sz w:val="20"/>
          <w:szCs w:val="20"/>
          <w:lang w:val="en-GB" w:eastAsia="en-GB"/>
        </w:rPr>
        <w:lastRenderedPageBreak/>
        <w:drawing>
          <wp:inline distT="0" distB="0" distL="0" distR="0" wp14:anchorId="39B0DEFC" wp14:editId="4E8718F4">
            <wp:extent cx="3810945" cy="297183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8" cstate="print">
                      <a:extLst>
                        <a:ext uri="{28A0092B-C50C-407E-A947-70E740481C1C}">
                          <a14:useLocalDpi xmlns:a14="http://schemas.microsoft.com/office/drawing/2010/main" val="0"/>
                        </a:ext>
                      </a:extLst>
                    </a:blip>
                    <a:srcRect t="4179" b="40699"/>
                    <a:stretch/>
                  </pic:blipFill>
                  <pic:spPr bwMode="auto">
                    <a:xfrm>
                      <a:off x="0" y="0"/>
                      <a:ext cx="3832219" cy="2988427"/>
                    </a:xfrm>
                    <a:prstGeom prst="rect">
                      <a:avLst/>
                    </a:prstGeom>
                    <a:ln>
                      <a:noFill/>
                    </a:ln>
                    <a:extLst>
                      <a:ext uri="{53640926-AAD7-44D8-BBD7-CCE9431645EC}">
                        <a14:shadowObscured xmlns:a14="http://schemas.microsoft.com/office/drawing/2010/main"/>
                      </a:ext>
                    </a:extLst>
                  </pic:spPr>
                </pic:pic>
              </a:graphicData>
            </a:graphic>
          </wp:inline>
        </w:drawing>
      </w:r>
    </w:p>
    <w:p w14:paraId="45043612" w14:textId="7E5FC4B3" w:rsidR="00E3435B" w:rsidRPr="0057197B" w:rsidRDefault="00C11732" w:rsidP="00943748">
      <w:pPr>
        <w:jc w:val="both"/>
        <w:rPr>
          <w:rFonts w:ascii="Arial" w:eastAsia="Times New Roman" w:hAnsi="Arial" w:cs="Arial"/>
          <w:sz w:val="20"/>
          <w:szCs w:val="20"/>
          <w:lang w:val="en-US"/>
        </w:rPr>
        <w:sectPr w:rsidR="00E3435B" w:rsidRPr="0057197B" w:rsidSect="006D2A76">
          <w:footerReference w:type="default" r:id="rId9"/>
          <w:pgSz w:w="11906" w:h="16838"/>
          <w:pgMar w:top="1417" w:right="1418" w:bottom="1134" w:left="1134" w:header="708" w:footer="708" w:gutter="0"/>
          <w:cols w:space="708"/>
          <w:titlePg/>
          <w:docGrid w:linePitch="360"/>
        </w:sectPr>
      </w:pPr>
      <w:r w:rsidRPr="0057197B">
        <w:rPr>
          <w:rFonts w:ascii="Arial" w:eastAsia="Times New Roman" w:hAnsi="Arial" w:cs="Arial"/>
          <w:b/>
          <w:bCs/>
          <w:sz w:val="20"/>
          <w:szCs w:val="20"/>
          <w:lang w:val="en-US"/>
        </w:rPr>
        <w:t>Figure S1</w:t>
      </w:r>
      <w:r w:rsidRPr="0057197B">
        <w:rPr>
          <w:rFonts w:ascii="Arial" w:eastAsia="Times New Roman" w:hAnsi="Arial" w:cs="Arial"/>
          <w:sz w:val="20"/>
          <w:szCs w:val="20"/>
          <w:lang w:val="en-US"/>
        </w:rPr>
        <w:t xml:space="preserve">. Geographical distribution of the 23 sampling locations integrated into the Spanish Monitoring </w:t>
      </w:r>
      <w:r w:rsidR="00DE05F6">
        <w:rPr>
          <w:rFonts w:ascii="Arial" w:eastAsia="Times New Roman" w:hAnsi="Arial" w:cs="Arial"/>
          <w:sz w:val="20"/>
          <w:szCs w:val="20"/>
          <w:lang w:val="en-US"/>
        </w:rPr>
        <w:t xml:space="preserve">Programme on POPs </w:t>
      </w:r>
      <w:r>
        <w:rPr>
          <w:rFonts w:ascii="Arial" w:eastAsia="Times New Roman" w:hAnsi="Arial" w:cs="Arial"/>
          <w:sz w:val="20"/>
          <w:szCs w:val="20"/>
          <w:lang w:val="en-US"/>
        </w:rPr>
        <w:t>(SM</w:t>
      </w:r>
      <w:r w:rsidR="00DE05F6">
        <w:rPr>
          <w:rFonts w:ascii="Arial" w:eastAsia="Times New Roman" w:hAnsi="Arial" w:cs="Arial"/>
          <w:sz w:val="20"/>
          <w:szCs w:val="20"/>
          <w:lang w:val="en-US"/>
        </w:rPr>
        <w:t>P-POPs</w:t>
      </w:r>
      <w:r>
        <w:rPr>
          <w:rFonts w:ascii="Arial" w:eastAsia="Times New Roman" w:hAnsi="Arial" w:cs="Arial"/>
          <w:sz w:val="20"/>
          <w:szCs w:val="20"/>
          <w:lang w:val="en-US"/>
        </w:rPr>
        <w:t>)</w:t>
      </w:r>
      <w:r w:rsidRPr="0057197B">
        <w:rPr>
          <w:rFonts w:ascii="Arial" w:eastAsia="Times New Roman" w:hAnsi="Arial" w:cs="Arial"/>
          <w:sz w:val="20"/>
          <w:szCs w:val="20"/>
          <w:lang w:val="en-US"/>
        </w:rPr>
        <w:t>. Sites are distributed across the Iberian Peninsula, the Balearic Islands (Mahón), and the Canary Islands (Izaña and Santa Cruz de Tenerife).</w:t>
      </w:r>
      <w:bookmarkStart w:id="8" w:name="_Hlk224027317"/>
      <w:bookmarkStart w:id="9" w:name="_Hlk224031264"/>
    </w:p>
    <w:p w14:paraId="5F9A9A7D" w14:textId="4810D9A8" w:rsidR="00A8458A" w:rsidRPr="0057197B" w:rsidRDefault="00A8458A" w:rsidP="00943748">
      <w:pPr>
        <w:jc w:val="both"/>
        <w:rPr>
          <w:rFonts w:ascii="Arial" w:eastAsia="Times New Roman" w:hAnsi="Arial" w:cs="Arial"/>
          <w:sz w:val="20"/>
          <w:szCs w:val="20"/>
          <w:lang w:val="en-US"/>
        </w:rPr>
      </w:pPr>
      <w:r w:rsidRPr="0057197B">
        <w:rPr>
          <w:rFonts w:ascii="Arial" w:eastAsia="Times New Roman" w:hAnsi="Arial" w:cs="Arial"/>
          <w:noProof/>
          <w:sz w:val="20"/>
          <w:szCs w:val="20"/>
          <w:lang w:val="en-GB" w:eastAsia="en-GB"/>
        </w:rPr>
        <w:lastRenderedPageBreak/>
        <w:drawing>
          <wp:inline distT="0" distB="0" distL="0" distR="0" wp14:anchorId="420C02B5" wp14:editId="3CE708B9">
            <wp:extent cx="8664253" cy="4316819"/>
            <wp:effectExtent l="0" t="0" r="3810" b="762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14669" cy="4341938"/>
                    </a:xfrm>
                    <a:prstGeom prst="rect">
                      <a:avLst/>
                    </a:prstGeom>
                    <a:noFill/>
                    <a:ln>
                      <a:noFill/>
                    </a:ln>
                  </pic:spPr>
                </pic:pic>
              </a:graphicData>
            </a:graphic>
          </wp:inline>
        </w:drawing>
      </w:r>
    </w:p>
    <w:p w14:paraId="539EC974" w14:textId="3133F537" w:rsidR="00E3435B" w:rsidRPr="0057197B" w:rsidRDefault="009B66C3" w:rsidP="00CC4B05">
      <w:pPr>
        <w:spacing w:before="100" w:beforeAutospacing="1" w:after="100" w:afterAutospacing="1" w:line="240" w:lineRule="auto"/>
        <w:jc w:val="both"/>
        <w:rPr>
          <w:rFonts w:ascii="Arial" w:eastAsia="Times New Roman" w:hAnsi="Arial" w:cs="Arial"/>
          <w:sz w:val="20"/>
          <w:szCs w:val="20"/>
          <w:lang w:val="en-US"/>
        </w:rPr>
        <w:sectPr w:rsidR="00E3435B" w:rsidRPr="0057197B" w:rsidSect="0057197B">
          <w:pgSz w:w="16838" w:h="11906" w:orient="landscape"/>
          <w:pgMar w:top="1701" w:right="1418" w:bottom="1134" w:left="1134" w:header="708" w:footer="708" w:gutter="0"/>
          <w:cols w:space="708"/>
          <w:docGrid w:linePitch="360"/>
        </w:sectPr>
      </w:pPr>
      <w:r w:rsidRPr="0057197B">
        <w:rPr>
          <w:rFonts w:ascii="Arial" w:eastAsia="Times New Roman" w:hAnsi="Arial" w:cs="Arial"/>
          <w:b/>
          <w:bCs/>
          <w:sz w:val="20"/>
          <w:szCs w:val="20"/>
          <w:lang w:val="en-US"/>
        </w:rPr>
        <w:t xml:space="preserve">Figure </w:t>
      </w:r>
      <w:r w:rsidR="00C84D0E" w:rsidRPr="0057197B">
        <w:rPr>
          <w:rFonts w:ascii="Arial" w:eastAsia="Times New Roman" w:hAnsi="Arial" w:cs="Arial"/>
          <w:b/>
          <w:bCs/>
          <w:sz w:val="20"/>
          <w:szCs w:val="20"/>
          <w:lang w:val="en-US"/>
        </w:rPr>
        <w:t>S</w:t>
      </w:r>
      <w:r w:rsidR="00731039">
        <w:rPr>
          <w:rFonts w:ascii="Arial" w:eastAsia="Times New Roman" w:hAnsi="Arial" w:cs="Arial"/>
          <w:b/>
          <w:bCs/>
          <w:sz w:val="20"/>
          <w:szCs w:val="20"/>
          <w:lang w:val="en-US"/>
        </w:rPr>
        <w:t>2</w:t>
      </w:r>
      <w:r w:rsidRPr="0057197B">
        <w:rPr>
          <w:rFonts w:ascii="Arial" w:eastAsia="Times New Roman" w:hAnsi="Arial" w:cs="Arial"/>
          <w:sz w:val="20"/>
          <w:szCs w:val="20"/>
          <w:lang w:val="en-US"/>
        </w:rPr>
        <w:t>. Atmospheric POP levels along the urbanization gradient in Spain. Boxplots represent the distribution of air concentrations (pg</w:t>
      </w:r>
      <w:r w:rsidR="0052712F">
        <w:rPr>
          <w:rFonts w:ascii="Arial" w:eastAsia="Times New Roman" w:hAnsi="Arial" w:cs="Arial"/>
          <w:sz w:val="20"/>
          <w:szCs w:val="20"/>
          <w:lang w:val="en-US"/>
        </w:rPr>
        <w:t>/</w:t>
      </w:r>
      <w:r w:rsidRPr="0057197B">
        <w:rPr>
          <w:rFonts w:ascii="Arial" w:eastAsia="Times New Roman" w:hAnsi="Arial" w:cs="Arial"/>
          <w:sz w:val="20"/>
          <w:szCs w:val="20"/>
          <w:lang w:val="en-US"/>
        </w:rPr>
        <w:t>m³) for the POP families across different location types. The central line indicates the median, the box represents the interquartile range (IQR), and whiskers extend to 1.5 times IQR. Data are shown on a logarithmic scale for better visualization of the wide concentration ranges. Different letters above the boxes indicate statistically significant differences (p &lt; 0.05) between categories according to the Kruskal-Wallis test followed by a post-hoc Dunn’s test with Bonferroni correction</w:t>
      </w:r>
      <w:bookmarkEnd w:id="8"/>
      <w:r w:rsidR="00473F21">
        <w:rPr>
          <w:rFonts w:ascii="Arial" w:eastAsia="Times New Roman" w:hAnsi="Arial" w:cs="Arial"/>
          <w:sz w:val="20"/>
          <w:szCs w:val="20"/>
          <w:lang w:val="en-US"/>
        </w:rPr>
        <w:t>.</w:t>
      </w:r>
    </w:p>
    <w:bookmarkEnd w:id="9"/>
    <w:p w14:paraId="287FCB5F" w14:textId="4308AD34" w:rsidR="008F03A3" w:rsidRDefault="008A17B6" w:rsidP="00172259">
      <w:pPr>
        <w:jc w:val="center"/>
        <w:rPr>
          <w:rFonts w:ascii="Arial" w:hAnsi="Arial" w:cs="Arial"/>
          <w:sz w:val="20"/>
          <w:szCs w:val="20"/>
          <w:lang w:val="en-US"/>
        </w:rPr>
      </w:pPr>
      <w:r>
        <w:rPr>
          <w:rFonts w:ascii="Arial" w:hAnsi="Arial" w:cs="Arial"/>
          <w:noProof/>
          <w:sz w:val="20"/>
          <w:szCs w:val="20"/>
          <w:lang w:val="en-GB" w:eastAsia="en-GB"/>
        </w:rPr>
        <w:lastRenderedPageBreak/>
        <w:drawing>
          <wp:inline distT="0" distB="0" distL="0" distR="0" wp14:anchorId="000FDDF2" wp14:editId="0B86E14A">
            <wp:extent cx="5209200" cy="37548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09200" cy="3754800"/>
                    </a:xfrm>
                    <a:prstGeom prst="rect">
                      <a:avLst/>
                    </a:prstGeom>
                  </pic:spPr>
                </pic:pic>
              </a:graphicData>
            </a:graphic>
          </wp:inline>
        </w:drawing>
      </w:r>
    </w:p>
    <w:p w14:paraId="20B080D5" w14:textId="1701DA29" w:rsidR="00EC2793" w:rsidRPr="0057197B" w:rsidRDefault="00EC2793" w:rsidP="00172259">
      <w:pPr>
        <w:jc w:val="center"/>
        <w:rPr>
          <w:rFonts w:ascii="Arial" w:hAnsi="Arial" w:cs="Arial"/>
          <w:sz w:val="20"/>
          <w:szCs w:val="20"/>
          <w:lang w:val="en-US"/>
        </w:rPr>
      </w:pPr>
      <w:r>
        <w:rPr>
          <w:rFonts w:ascii="Arial" w:hAnsi="Arial" w:cs="Arial"/>
          <w:noProof/>
          <w:sz w:val="20"/>
          <w:szCs w:val="20"/>
          <w:lang w:val="en-GB" w:eastAsia="en-GB"/>
        </w:rPr>
        <w:drawing>
          <wp:inline distT="0" distB="0" distL="0" distR="0" wp14:anchorId="3D1B0606" wp14:editId="507D8470">
            <wp:extent cx="5140800" cy="3758400"/>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40800" cy="3758400"/>
                    </a:xfrm>
                    <a:prstGeom prst="rect">
                      <a:avLst/>
                    </a:prstGeom>
                  </pic:spPr>
                </pic:pic>
              </a:graphicData>
            </a:graphic>
          </wp:inline>
        </w:drawing>
      </w:r>
    </w:p>
    <w:p w14:paraId="36A5FD74" w14:textId="478333DB" w:rsidR="001440E5" w:rsidRPr="0057197B" w:rsidRDefault="001440E5" w:rsidP="00172259">
      <w:pPr>
        <w:jc w:val="center"/>
        <w:rPr>
          <w:rFonts w:ascii="Arial" w:hAnsi="Arial" w:cs="Arial"/>
          <w:sz w:val="20"/>
          <w:szCs w:val="20"/>
          <w:lang w:val="en-US"/>
        </w:rPr>
      </w:pPr>
    </w:p>
    <w:p w14:paraId="14F6180D" w14:textId="41C26D21" w:rsidR="00C92ACF" w:rsidRPr="0057197B" w:rsidRDefault="00C92ACF" w:rsidP="00C92ACF">
      <w:pPr>
        <w:jc w:val="both"/>
        <w:rPr>
          <w:rFonts w:ascii="Arial" w:hAnsi="Arial" w:cs="Arial"/>
          <w:sz w:val="20"/>
          <w:szCs w:val="20"/>
          <w:lang w:val="en-US"/>
        </w:rPr>
      </w:pPr>
      <w:r w:rsidRPr="0057197B">
        <w:rPr>
          <w:rFonts w:ascii="Arial" w:hAnsi="Arial" w:cs="Arial"/>
          <w:b/>
          <w:bCs/>
          <w:sz w:val="20"/>
          <w:szCs w:val="20"/>
          <w:lang w:val="en-US"/>
        </w:rPr>
        <w:t>Figure S</w:t>
      </w:r>
      <w:r w:rsidR="00D25382">
        <w:rPr>
          <w:rFonts w:ascii="Arial" w:hAnsi="Arial" w:cs="Arial"/>
          <w:b/>
          <w:bCs/>
          <w:sz w:val="20"/>
          <w:szCs w:val="20"/>
          <w:lang w:val="en-US"/>
        </w:rPr>
        <w:t>3</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of median HCB</w:t>
      </w:r>
      <w:r w:rsidR="005E04E9" w:rsidRPr="0057197B">
        <w:rPr>
          <w:rFonts w:ascii="Arial" w:hAnsi="Arial" w:cs="Arial"/>
          <w:sz w:val="20"/>
          <w:szCs w:val="20"/>
          <w:lang w:val="en-US"/>
        </w:rPr>
        <w:t xml:space="preserve"> (</w:t>
      </w:r>
      <w:r w:rsidR="00CC4B05" w:rsidRPr="0057197B">
        <w:rPr>
          <w:rFonts w:ascii="Arial" w:hAnsi="Arial" w:cs="Arial"/>
          <w:sz w:val="20"/>
          <w:szCs w:val="20"/>
          <w:lang w:val="en-US"/>
        </w:rPr>
        <w:t>A</w:t>
      </w:r>
      <w:r w:rsidR="005E04E9" w:rsidRPr="0057197B">
        <w:rPr>
          <w:rFonts w:ascii="Arial" w:hAnsi="Arial" w:cs="Arial"/>
          <w:sz w:val="20"/>
          <w:szCs w:val="20"/>
          <w:lang w:val="en-US"/>
        </w:rPr>
        <w:t>) and PeCB (</w:t>
      </w:r>
      <w:r w:rsidR="00CC21D5">
        <w:rPr>
          <w:rFonts w:ascii="Arial" w:hAnsi="Arial" w:cs="Arial"/>
          <w:sz w:val="20"/>
          <w:szCs w:val="20"/>
          <w:lang w:val="en-US"/>
        </w:rPr>
        <w:t>B</w:t>
      </w:r>
      <w:r w:rsidR="005E04E9" w:rsidRPr="0057197B">
        <w:rPr>
          <w:rFonts w:ascii="Arial" w:hAnsi="Arial" w:cs="Arial"/>
          <w:sz w:val="20"/>
          <w:szCs w:val="20"/>
          <w:lang w:val="en-US"/>
        </w:rPr>
        <w:t>)</w:t>
      </w:r>
      <w:r w:rsidRPr="0057197B">
        <w:rPr>
          <w:rFonts w:ascii="Arial" w:hAnsi="Arial" w:cs="Arial"/>
          <w:sz w:val="20"/>
          <w:szCs w:val="20"/>
          <w:lang w:val="en-US"/>
        </w:rPr>
        <w:t xml:space="preserve"> concentrations</w:t>
      </w:r>
      <w:r w:rsidR="005E04E9" w:rsidRPr="0057197B">
        <w:rPr>
          <w:rFonts w:ascii="Arial" w:hAnsi="Arial" w:cs="Arial"/>
          <w:sz w:val="20"/>
          <w:szCs w:val="20"/>
          <w:lang w:val="en-US"/>
        </w:rPr>
        <w:t xml:space="preserve"> (bars; pg/m</w:t>
      </w:r>
      <w:r w:rsidR="005E04E9" w:rsidRPr="0057197B">
        <w:rPr>
          <w:rFonts w:ascii="Arial" w:hAnsi="Arial" w:cs="Arial"/>
          <w:sz w:val="20"/>
          <w:szCs w:val="20"/>
          <w:vertAlign w:val="superscript"/>
          <w:lang w:val="en-US"/>
        </w:rPr>
        <w:t>3</w:t>
      </w:r>
      <w:r w:rsidR="005E04E9" w:rsidRPr="0057197B">
        <w:rPr>
          <w:rFonts w:ascii="Arial" w:hAnsi="Arial" w:cs="Arial"/>
          <w:sz w:val="20"/>
          <w:szCs w:val="20"/>
          <w:lang w:val="en-US"/>
        </w:rPr>
        <w:t>)</w:t>
      </w:r>
      <w:r w:rsidRPr="0057197B">
        <w:rPr>
          <w:rFonts w:ascii="Arial" w:hAnsi="Arial" w:cs="Arial"/>
          <w:sz w:val="20"/>
          <w:szCs w:val="20"/>
          <w:lang w:val="en-US"/>
        </w:rPr>
        <w:t xml:space="preserve">. </w:t>
      </w:r>
      <w:r w:rsidR="005E04E9" w:rsidRPr="0057197B">
        <w:rPr>
          <w:rFonts w:ascii="Arial" w:hAnsi="Arial" w:cs="Arial"/>
          <w:sz w:val="20"/>
          <w:szCs w:val="20"/>
          <w:lang w:val="en-US"/>
        </w:rPr>
        <w:t>Statistically s</w:t>
      </w:r>
      <w:r w:rsidRPr="0057197B">
        <w:rPr>
          <w:rFonts w:ascii="Arial" w:hAnsi="Arial" w:cs="Arial"/>
          <w:sz w:val="20"/>
          <w:szCs w:val="20"/>
          <w:lang w:val="en-US"/>
        </w:rPr>
        <w:t xml:space="preserve">ignificant temporal trends are displayed </w:t>
      </w:r>
      <w:r w:rsidR="00F128B8">
        <w:rPr>
          <w:rFonts w:ascii="Arial" w:hAnsi="Arial" w:cs="Arial"/>
          <w:sz w:val="20"/>
          <w:szCs w:val="20"/>
          <w:lang w:val="en-US"/>
        </w:rPr>
        <w:t xml:space="preserve">next to the </w:t>
      </w:r>
      <w:r w:rsidRPr="0057197B">
        <w:rPr>
          <w:rFonts w:ascii="Arial" w:hAnsi="Arial" w:cs="Arial"/>
          <w:sz w:val="20"/>
          <w:szCs w:val="20"/>
          <w:lang w:val="en-US"/>
        </w:rPr>
        <w:t>bars, showing the Annual Percentage Change (APC, %)</w:t>
      </w:r>
      <w:r w:rsidR="005E04E9" w:rsidRPr="0057197B">
        <w:rPr>
          <w:rFonts w:ascii="Arial" w:hAnsi="Arial" w:cs="Arial"/>
          <w:sz w:val="20"/>
          <w:szCs w:val="20"/>
          <w:lang w:val="en-US"/>
        </w:rPr>
        <w:t xml:space="preserve"> and its associated statistical power, indicated by superscripts: a for power ≥ </w:t>
      </w:r>
      <w:r w:rsidR="001440E5" w:rsidRPr="0057197B">
        <w:rPr>
          <w:rFonts w:ascii="Arial" w:hAnsi="Arial" w:cs="Arial"/>
          <w:sz w:val="20"/>
          <w:szCs w:val="20"/>
          <w:lang w:val="en-US"/>
        </w:rPr>
        <w:t xml:space="preserve">0.8 and </w:t>
      </w:r>
      <w:r w:rsidR="005E04E9" w:rsidRPr="0057197B">
        <w:rPr>
          <w:rFonts w:ascii="Arial" w:hAnsi="Arial" w:cs="Arial"/>
          <w:sz w:val="20"/>
          <w:szCs w:val="20"/>
          <w:lang w:val="en-US"/>
        </w:rPr>
        <w:t xml:space="preserve">b for power </w:t>
      </w:r>
      <w:r w:rsidRPr="0057197B">
        <w:rPr>
          <w:rFonts w:ascii="Arial" w:hAnsi="Arial" w:cs="Arial"/>
          <w:sz w:val="20"/>
          <w:szCs w:val="20"/>
          <w:lang w:val="en-US"/>
        </w:rPr>
        <w:t>between 0.5 and 0.8</w:t>
      </w:r>
      <w:r w:rsidR="005E04E9" w:rsidRPr="0057197B">
        <w:rPr>
          <w:rFonts w:ascii="Arial" w:hAnsi="Arial" w:cs="Arial"/>
          <w:sz w:val="20"/>
          <w:szCs w:val="20"/>
          <w:lang w:val="en-US"/>
        </w:rPr>
        <w:t>.</w:t>
      </w:r>
    </w:p>
    <w:p w14:paraId="4DDCD5C3" w14:textId="2C18A823" w:rsidR="00026567" w:rsidRDefault="00026567" w:rsidP="00026567">
      <w:pPr>
        <w:rPr>
          <w:rFonts w:ascii="Arial" w:hAnsi="Arial" w:cs="Arial"/>
          <w:sz w:val="20"/>
          <w:szCs w:val="20"/>
          <w:lang w:val="en-US"/>
        </w:rPr>
      </w:pPr>
      <w:r w:rsidRPr="0057197B">
        <w:rPr>
          <w:rFonts w:ascii="Arial" w:hAnsi="Arial" w:cs="Arial"/>
          <w:noProof/>
          <w:sz w:val="20"/>
          <w:szCs w:val="20"/>
          <w:lang w:val="en-GB" w:eastAsia="en-GB"/>
        </w:rPr>
        <w:lastRenderedPageBreak/>
        <w:drawing>
          <wp:inline distT="0" distB="0" distL="0" distR="0" wp14:anchorId="4F4DAC8F" wp14:editId="10694B9C">
            <wp:extent cx="5839200" cy="29196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39200" cy="2919600"/>
                    </a:xfrm>
                    <a:prstGeom prst="rect">
                      <a:avLst/>
                    </a:prstGeom>
                  </pic:spPr>
                </pic:pic>
              </a:graphicData>
            </a:graphic>
          </wp:inline>
        </w:drawing>
      </w:r>
    </w:p>
    <w:p w14:paraId="76EFB82C" w14:textId="657977D4" w:rsidR="00026567" w:rsidRPr="0057197B" w:rsidRDefault="00026567" w:rsidP="00026567">
      <w:pPr>
        <w:rPr>
          <w:rFonts w:ascii="Arial" w:hAnsi="Arial" w:cs="Arial"/>
          <w:sz w:val="20"/>
          <w:szCs w:val="20"/>
          <w:lang w:val="en-US"/>
        </w:rPr>
      </w:pPr>
    </w:p>
    <w:p w14:paraId="7FF6E5FD" w14:textId="599493A5" w:rsidR="00026567" w:rsidRPr="0057197B" w:rsidRDefault="00026567" w:rsidP="00026567">
      <w:pPr>
        <w:rPr>
          <w:rFonts w:ascii="Arial" w:hAnsi="Arial" w:cs="Arial"/>
          <w:sz w:val="20"/>
          <w:szCs w:val="20"/>
          <w:lang w:val="en-US"/>
        </w:rPr>
      </w:pPr>
      <w:r w:rsidRPr="0057197B">
        <w:rPr>
          <w:rFonts w:ascii="Arial" w:hAnsi="Arial" w:cs="Arial"/>
          <w:noProof/>
          <w:sz w:val="20"/>
          <w:szCs w:val="20"/>
          <w:lang w:val="en-GB" w:eastAsia="en-GB"/>
        </w:rPr>
        <w:drawing>
          <wp:inline distT="0" distB="0" distL="0" distR="0" wp14:anchorId="6331D679" wp14:editId="26588F82">
            <wp:extent cx="5839200" cy="29196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39200" cy="2919600"/>
                    </a:xfrm>
                    <a:prstGeom prst="rect">
                      <a:avLst/>
                    </a:prstGeom>
                  </pic:spPr>
                </pic:pic>
              </a:graphicData>
            </a:graphic>
          </wp:inline>
        </w:drawing>
      </w:r>
    </w:p>
    <w:p w14:paraId="33F105CC" w14:textId="3B1336E4" w:rsidR="00026567" w:rsidRPr="0057197B" w:rsidRDefault="00026567" w:rsidP="00CC4B05">
      <w:pPr>
        <w:spacing w:after="0" w:line="240" w:lineRule="auto"/>
        <w:jc w:val="both"/>
        <w:rPr>
          <w:rFonts w:ascii="Arial" w:hAnsi="Arial" w:cs="Arial"/>
          <w:sz w:val="20"/>
          <w:szCs w:val="20"/>
          <w:lang w:val="en-US"/>
        </w:rPr>
      </w:pPr>
      <w:r w:rsidRPr="0057197B">
        <w:rPr>
          <w:rFonts w:ascii="Arial" w:eastAsia="Times New Roman" w:hAnsi="Arial" w:cs="Arial"/>
          <w:b/>
          <w:bCs/>
          <w:sz w:val="20"/>
          <w:szCs w:val="20"/>
          <w:lang w:val="en-US"/>
        </w:rPr>
        <w:t xml:space="preserve">Figure </w:t>
      </w:r>
      <w:r w:rsidR="007B06E7" w:rsidRPr="0057197B">
        <w:rPr>
          <w:rFonts w:ascii="Arial" w:eastAsia="Times New Roman" w:hAnsi="Arial" w:cs="Arial"/>
          <w:b/>
          <w:bCs/>
          <w:sz w:val="20"/>
          <w:szCs w:val="20"/>
          <w:lang w:val="en-US"/>
        </w:rPr>
        <w:t>S</w:t>
      </w:r>
      <w:r w:rsidR="00D25382">
        <w:rPr>
          <w:rFonts w:ascii="Arial" w:eastAsia="Times New Roman" w:hAnsi="Arial" w:cs="Arial"/>
          <w:b/>
          <w:bCs/>
          <w:sz w:val="20"/>
          <w:szCs w:val="20"/>
          <w:lang w:val="en-US"/>
        </w:rPr>
        <w:t>4</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Atmospheric concentrations (pg/m³) of HCB and PeCB across the </w:t>
      </w:r>
      <w:r w:rsidR="00DE05F6">
        <w:rPr>
          <w:rFonts w:ascii="Arial" w:eastAsia="Times New Roman" w:hAnsi="Arial" w:cs="Arial"/>
          <w:sz w:val="20"/>
          <w:szCs w:val="20"/>
          <w:lang w:val="en-US"/>
        </w:rPr>
        <w:t>SMP-POPs</w:t>
      </w:r>
      <w:r w:rsidRPr="0057197B">
        <w:rPr>
          <w:rFonts w:ascii="Arial" w:eastAsia="Times New Roman" w:hAnsi="Arial" w:cs="Arial"/>
          <w:sz w:val="20"/>
          <w:szCs w:val="20"/>
          <w:lang w:val="en-US"/>
        </w:rPr>
        <w:t xml:space="preserve"> (2009–2023). Raincloud plots </w:t>
      </w:r>
      <w:r w:rsidR="00936ABB" w:rsidRPr="0057197B">
        <w:rPr>
          <w:rFonts w:ascii="Arial" w:eastAsia="Times New Roman" w:hAnsi="Arial" w:cs="Arial"/>
          <w:sz w:val="20"/>
          <w:szCs w:val="20"/>
          <w:lang w:val="en-US"/>
        </w:rPr>
        <w:t xml:space="preserve">illustrate the data distribution, </w:t>
      </w:r>
      <w:r w:rsidRPr="0057197B">
        <w:rPr>
          <w:rFonts w:ascii="Arial" w:eastAsia="Times New Roman" w:hAnsi="Arial" w:cs="Arial"/>
          <w:sz w:val="20"/>
          <w:szCs w:val="20"/>
          <w:lang w:val="en-US"/>
        </w:rPr>
        <w:t>display</w:t>
      </w:r>
      <w:r w:rsidR="00936ABB" w:rsidRPr="0057197B">
        <w:rPr>
          <w:rFonts w:ascii="Arial" w:eastAsia="Times New Roman" w:hAnsi="Arial" w:cs="Arial"/>
          <w:sz w:val="20"/>
          <w:szCs w:val="20"/>
          <w:lang w:val="en-US"/>
        </w:rPr>
        <w:t>ing</w:t>
      </w:r>
      <w:r w:rsidRPr="0057197B">
        <w:rPr>
          <w:rFonts w:ascii="Arial" w:eastAsia="Times New Roman" w:hAnsi="Arial" w:cs="Arial"/>
          <w:sz w:val="20"/>
          <w:szCs w:val="20"/>
          <w:lang w:val="en-US"/>
        </w:rPr>
        <w:t xml:space="preserve"> </w:t>
      </w:r>
      <w:r w:rsidR="00936ABB" w:rsidRPr="0057197B">
        <w:rPr>
          <w:rFonts w:ascii="Arial" w:eastAsia="Times New Roman" w:hAnsi="Arial" w:cs="Arial"/>
          <w:sz w:val="20"/>
          <w:szCs w:val="20"/>
          <w:lang w:val="en-US"/>
        </w:rPr>
        <w:t xml:space="preserve">jittered observations </w:t>
      </w:r>
      <w:r w:rsidRPr="0057197B">
        <w:rPr>
          <w:rFonts w:ascii="Arial" w:eastAsia="Times New Roman" w:hAnsi="Arial" w:cs="Arial"/>
          <w:sz w:val="20"/>
          <w:szCs w:val="20"/>
          <w:lang w:val="en-US"/>
        </w:rPr>
        <w:t>(left), boxplots representing the median and interquartile range</w:t>
      </w:r>
      <w:r w:rsidR="00473F21">
        <w:rPr>
          <w:rFonts w:ascii="Arial" w:eastAsia="Times New Roman" w:hAnsi="Arial" w:cs="Arial"/>
          <w:sz w:val="20"/>
          <w:szCs w:val="20"/>
          <w:lang w:val="en-US"/>
        </w:rPr>
        <w:t xml:space="preserve"> </w:t>
      </w:r>
      <w:r w:rsidR="00936ABB" w:rsidRPr="0057197B">
        <w:rPr>
          <w:rFonts w:ascii="Arial" w:eastAsia="Times New Roman" w:hAnsi="Arial" w:cs="Arial"/>
          <w:sz w:val="20"/>
          <w:szCs w:val="20"/>
          <w:lang w:val="en-US"/>
        </w:rPr>
        <w:t>(center</w:t>
      </w:r>
      <w:r w:rsidRPr="0057197B">
        <w:rPr>
          <w:rFonts w:ascii="Arial" w:eastAsia="Times New Roman" w:hAnsi="Arial" w:cs="Arial"/>
          <w:sz w:val="20"/>
          <w:szCs w:val="20"/>
          <w:lang w:val="en-US"/>
        </w:rPr>
        <w:t>), and</w:t>
      </w:r>
      <w:r w:rsidR="00936ABB" w:rsidRPr="0057197B">
        <w:rPr>
          <w:rFonts w:ascii="Arial" w:eastAsia="Times New Roman" w:hAnsi="Arial" w:cs="Arial"/>
          <w:sz w:val="20"/>
          <w:szCs w:val="20"/>
          <w:lang w:val="en-US"/>
        </w:rPr>
        <w:t xml:space="preserve"> kernel d</w:t>
      </w:r>
      <w:r w:rsidRPr="0057197B">
        <w:rPr>
          <w:rFonts w:ascii="Arial" w:eastAsia="Times New Roman" w:hAnsi="Arial" w:cs="Arial"/>
          <w:sz w:val="20"/>
          <w:szCs w:val="20"/>
          <w:lang w:val="en-US"/>
        </w:rPr>
        <w:t xml:space="preserve">ensity </w:t>
      </w:r>
      <w:r w:rsidR="00936ABB" w:rsidRPr="0057197B">
        <w:rPr>
          <w:rFonts w:ascii="Arial" w:eastAsia="Times New Roman" w:hAnsi="Arial" w:cs="Arial"/>
          <w:sz w:val="20"/>
          <w:szCs w:val="20"/>
          <w:lang w:val="en-US"/>
        </w:rPr>
        <w:t>shapes (</w:t>
      </w:r>
      <w:r w:rsidRPr="0057197B">
        <w:rPr>
          <w:rFonts w:ascii="Arial" w:eastAsia="Times New Roman" w:hAnsi="Arial" w:cs="Arial"/>
          <w:sz w:val="20"/>
          <w:szCs w:val="20"/>
          <w:lang w:val="en-US"/>
        </w:rPr>
        <w:t>right). The y-axis is shown on log10 scale and sampling sites on the x-axis are grouped by environment type (</w:t>
      </w:r>
      <w:r w:rsidR="00936ABB" w:rsidRPr="0057197B">
        <w:rPr>
          <w:rFonts w:ascii="Arial" w:eastAsia="Times New Roman" w:hAnsi="Arial" w:cs="Arial"/>
          <w:sz w:val="20"/>
          <w:szCs w:val="20"/>
          <w:lang w:val="en-US"/>
        </w:rPr>
        <w:t>r</w:t>
      </w:r>
      <w:r w:rsidRPr="0057197B">
        <w:rPr>
          <w:rFonts w:ascii="Arial" w:eastAsia="Times New Roman" w:hAnsi="Arial" w:cs="Arial"/>
          <w:sz w:val="20"/>
          <w:szCs w:val="20"/>
          <w:lang w:val="en-US"/>
        </w:rPr>
        <w:t>emote, rural, suburban</w:t>
      </w:r>
      <w:r w:rsidR="006405D0">
        <w:rPr>
          <w:rFonts w:ascii="Arial" w:eastAsia="Times New Roman" w:hAnsi="Arial" w:cs="Arial"/>
          <w:sz w:val="20"/>
          <w:szCs w:val="20"/>
          <w:lang w:val="en-US"/>
        </w:rPr>
        <w:t>,</w:t>
      </w:r>
      <w:r w:rsidRPr="0057197B">
        <w:rPr>
          <w:rFonts w:ascii="Arial" w:eastAsia="Times New Roman" w:hAnsi="Arial" w:cs="Arial"/>
          <w:sz w:val="20"/>
          <w:szCs w:val="20"/>
          <w:lang w:val="en-US"/>
        </w:rPr>
        <w:t xml:space="preserve"> and urban) and ordered alphabetically within each group. </w:t>
      </w:r>
    </w:p>
    <w:p w14:paraId="506D73A6" w14:textId="6B507E4C" w:rsidR="002F7A6B" w:rsidRDefault="002F7A6B" w:rsidP="00385326">
      <w:pPr>
        <w:spacing w:after="0" w:line="240" w:lineRule="auto"/>
        <w:jc w:val="center"/>
        <w:rPr>
          <w:rFonts w:ascii="Arial" w:eastAsia="Times New Roman" w:hAnsi="Arial" w:cs="Arial"/>
          <w:sz w:val="20"/>
          <w:szCs w:val="20"/>
          <w:lang w:val="en-US"/>
        </w:rPr>
      </w:pPr>
    </w:p>
    <w:p w14:paraId="4E123AF0" w14:textId="77777777" w:rsidR="00863835" w:rsidRDefault="00863835" w:rsidP="00CC4B05">
      <w:pPr>
        <w:spacing w:after="0" w:line="240" w:lineRule="auto"/>
        <w:jc w:val="both"/>
        <w:rPr>
          <w:rFonts w:ascii="Arial" w:eastAsia="Times New Roman" w:hAnsi="Arial" w:cs="Arial"/>
          <w:sz w:val="20"/>
          <w:szCs w:val="20"/>
          <w:lang w:val="en-US"/>
        </w:rPr>
      </w:pPr>
    </w:p>
    <w:p w14:paraId="0CF8C642" w14:textId="77777777" w:rsidR="00D25382" w:rsidRDefault="00D25382" w:rsidP="00CC4B05">
      <w:pPr>
        <w:spacing w:after="0" w:line="240" w:lineRule="auto"/>
        <w:jc w:val="both"/>
        <w:rPr>
          <w:rFonts w:ascii="Arial" w:eastAsia="Times New Roman" w:hAnsi="Arial" w:cs="Arial"/>
          <w:sz w:val="20"/>
          <w:szCs w:val="20"/>
          <w:lang w:val="en-US"/>
        </w:rPr>
      </w:pPr>
    </w:p>
    <w:p w14:paraId="6052A3E8" w14:textId="77777777" w:rsidR="00D25382" w:rsidRDefault="00D25382" w:rsidP="00CC4B05">
      <w:pPr>
        <w:spacing w:after="0" w:line="240" w:lineRule="auto"/>
        <w:jc w:val="both"/>
        <w:rPr>
          <w:rFonts w:ascii="Arial" w:eastAsia="Times New Roman" w:hAnsi="Arial" w:cs="Arial"/>
          <w:sz w:val="20"/>
          <w:szCs w:val="20"/>
          <w:lang w:val="en-US"/>
        </w:rPr>
      </w:pPr>
    </w:p>
    <w:p w14:paraId="3E66C97D" w14:textId="6A02FF3A" w:rsidR="00193227" w:rsidRDefault="00D25382" w:rsidP="00D25382">
      <w:pPr>
        <w:jc w:val="both"/>
        <w:rPr>
          <w:rFonts w:ascii="Arial" w:eastAsia="Times New Roman" w:hAnsi="Arial" w:cs="Arial"/>
          <w:noProof/>
          <w:sz w:val="20"/>
          <w:szCs w:val="20"/>
          <w:lang w:val="en-GB" w:eastAsia="en-GB"/>
        </w:rPr>
      </w:pPr>
      <w:bookmarkStart w:id="10" w:name="_Toc226564333"/>
      <w:r w:rsidRPr="00F90B77">
        <w:rPr>
          <w:rFonts w:ascii="Arial" w:hAnsi="Arial" w:cs="Arial"/>
          <w:noProof/>
          <w:sz w:val="20"/>
          <w:szCs w:val="20"/>
          <w:lang w:val="en-GB" w:eastAsia="en-GB"/>
        </w:rPr>
        <w:lastRenderedPageBreak/>
        <w:t xml:space="preserve"> </w:t>
      </w:r>
      <w:r w:rsidRPr="0057197B">
        <w:rPr>
          <w:rFonts w:ascii="Arial" w:hAnsi="Arial" w:cs="Arial"/>
          <w:noProof/>
          <w:sz w:val="20"/>
          <w:szCs w:val="20"/>
          <w:lang w:val="en-GB" w:eastAsia="en-GB"/>
        </w:rPr>
        <w:drawing>
          <wp:inline distT="0" distB="0" distL="0" distR="0" wp14:anchorId="71F0DB09" wp14:editId="400FD584">
            <wp:extent cx="2865600" cy="2149200"/>
            <wp:effectExtent l="0" t="0" r="0" b="381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5600" cy="2149200"/>
                    </a:xfrm>
                    <a:prstGeom prst="rect">
                      <a:avLst/>
                    </a:prstGeom>
                  </pic:spPr>
                </pic:pic>
              </a:graphicData>
            </a:graphic>
          </wp:inline>
        </w:drawing>
      </w:r>
      <w:r w:rsidRPr="00F90B77">
        <w:rPr>
          <w:rFonts w:ascii="Arial" w:eastAsia="Times New Roman" w:hAnsi="Arial" w:cs="Arial"/>
          <w:noProof/>
          <w:sz w:val="20"/>
          <w:szCs w:val="20"/>
          <w:lang w:val="en-GB" w:eastAsia="en-GB"/>
        </w:rPr>
        <w:t xml:space="preserve"> </w:t>
      </w:r>
      <w:r w:rsidR="00716F3B">
        <w:rPr>
          <w:rFonts w:ascii="Arial" w:eastAsia="Times New Roman" w:hAnsi="Arial" w:cs="Arial"/>
          <w:noProof/>
          <w:sz w:val="20"/>
          <w:szCs w:val="20"/>
          <w:lang w:val="en-GB" w:eastAsia="en-GB"/>
        </w:rPr>
        <w:drawing>
          <wp:inline distT="0" distB="0" distL="0" distR="0" wp14:anchorId="1006407F" wp14:editId="5AE4F53E">
            <wp:extent cx="2851200" cy="2142000"/>
            <wp:effectExtent l="0" t="0" r="6350" b="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1200" cy="2142000"/>
                    </a:xfrm>
                    <a:prstGeom prst="rect">
                      <a:avLst/>
                    </a:prstGeom>
                    <a:noFill/>
                    <a:ln>
                      <a:noFill/>
                    </a:ln>
                  </pic:spPr>
                </pic:pic>
              </a:graphicData>
            </a:graphic>
          </wp:inline>
        </w:drawing>
      </w:r>
    </w:p>
    <w:p w14:paraId="6A536624" w14:textId="00D1CBFF" w:rsidR="00716F3B" w:rsidRDefault="00716F3B" w:rsidP="00D25382">
      <w:pPr>
        <w:jc w:val="both"/>
        <w:rPr>
          <w:rFonts w:ascii="Arial" w:eastAsia="Times New Roman" w:hAnsi="Arial" w:cs="Arial"/>
          <w:noProof/>
          <w:sz w:val="20"/>
          <w:szCs w:val="20"/>
          <w:lang w:val="en-GB" w:eastAsia="en-GB"/>
        </w:rPr>
      </w:pPr>
      <w:r w:rsidRPr="0057197B">
        <w:rPr>
          <w:rFonts w:ascii="Arial" w:eastAsia="Times New Roman" w:hAnsi="Arial" w:cs="Arial"/>
          <w:noProof/>
          <w:sz w:val="20"/>
          <w:szCs w:val="20"/>
          <w:lang w:val="en-GB" w:eastAsia="en-GB"/>
        </w:rPr>
        <w:drawing>
          <wp:inline distT="0" distB="0" distL="0" distR="0" wp14:anchorId="6EAA9851" wp14:editId="21A2538A">
            <wp:extent cx="2854800" cy="2142000"/>
            <wp:effectExtent l="0" t="0" r="317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4800" cy="2142000"/>
                    </a:xfrm>
                    <a:prstGeom prst="rect">
                      <a:avLst/>
                    </a:prstGeom>
                    <a:noFill/>
                    <a:ln>
                      <a:noFill/>
                    </a:ln>
                  </pic:spPr>
                </pic:pic>
              </a:graphicData>
            </a:graphic>
          </wp:inline>
        </w:drawing>
      </w:r>
      <w:r w:rsidRPr="00716F3B">
        <w:rPr>
          <w:rFonts w:ascii="Arial" w:eastAsia="Times New Roman" w:hAnsi="Arial" w:cs="Arial"/>
          <w:noProof/>
          <w:sz w:val="20"/>
          <w:szCs w:val="20"/>
          <w:lang w:val="en-GB" w:eastAsia="en-GB"/>
        </w:rPr>
        <w:t xml:space="preserve"> </w:t>
      </w:r>
      <w:r w:rsidRPr="0057197B">
        <w:rPr>
          <w:rFonts w:ascii="Arial" w:eastAsia="Times New Roman" w:hAnsi="Arial" w:cs="Arial"/>
          <w:noProof/>
          <w:sz w:val="20"/>
          <w:szCs w:val="20"/>
          <w:lang w:val="en-GB" w:eastAsia="en-GB"/>
        </w:rPr>
        <w:drawing>
          <wp:inline distT="0" distB="0" distL="0" distR="0" wp14:anchorId="0A518F77" wp14:editId="75F9878B">
            <wp:extent cx="2854800" cy="2142000"/>
            <wp:effectExtent l="0" t="0" r="317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4800" cy="2142000"/>
                    </a:xfrm>
                    <a:prstGeom prst="rect">
                      <a:avLst/>
                    </a:prstGeom>
                    <a:noFill/>
                    <a:ln>
                      <a:noFill/>
                    </a:ln>
                  </pic:spPr>
                </pic:pic>
              </a:graphicData>
            </a:graphic>
          </wp:inline>
        </w:drawing>
      </w:r>
    </w:p>
    <w:p w14:paraId="384BACF7" w14:textId="7D92C756" w:rsidR="00193227" w:rsidRDefault="00D25382" w:rsidP="00D25382">
      <w:pPr>
        <w:jc w:val="both"/>
        <w:rPr>
          <w:rFonts w:ascii="Arial" w:eastAsia="Times New Roman" w:hAnsi="Arial" w:cs="Arial"/>
          <w:noProof/>
          <w:sz w:val="20"/>
          <w:szCs w:val="20"/>
          <w:lang w:val="en-GB" w:eastAsia="en-GB"/>
        </w:rPr>
      </w:pPr>
      <w:r w:rsidRPr="00F90B77">
        <w:rPr>
          <w:rFonts w:ascii="Arial" w:eastAsia="Times New Roman" w:hAnsi="Arial" w:cs="Arial"/>
          <w:noProof/>
          <w:sz w:val="20"/>
          <w:szCs w:val="20"/>
          <w:lang w:val="en-GB" w:eastAsia="en-GB"/>
        </w:rPr>
        <w:t xml:space="preserve"> </w:t>
      </w:r>
      <w:r w:rsidR="00193227" w:rsidRPr="0057197B">
        <w:rPr>
          <w:rFonts w:ascii="Arial" w:eastAsia="Times New Roman" w:hAnsi="Arial" w:cs="Arial"/>
          <w:noProof/>
          <w:sz w:val="20"/>
          <w:szCs w:val="20"/>
          <w:lang w:val="en-GB" w:eastAsia="en-GB"/>
        </w:rPr>
        <w:drawing>
          <wp:inline distT="0" distB="0" distL="0" distR="0" wp14:anchorId="130291E8" wp14:editId="5A000721">
            <wp:extent cx="2854800" cy="2142000"/>
            <wp:effectExtent l="0" t="0" r="3175" b="0"/>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4800" cy="2142000"/>
                    </a:xfrm>
                    <a:prstGeom prst="rect">
                      <a:avLst/>
                    </a:prstGeom>
                    <a:noFill/>
                    <a:ln>
                      <a:noFill/>
                    </a:ln>
                  </pic:spPr>
                </pic:pic>
              </a:graphicData>
            </a:graphic>
          </wp:inline>
        </w:drawing>
      </w:r>
      <w:r w:rsidR="00716F3B">
        <w:rPr>
          <w:rFonts w:ascii="Arial" w:eastAsia="Times New Roman" w:hAnsi="Arial" w:cs="Arial"/>
          <w:noProof/>
          <w:sz w:val="20"/>
          <w:szCs w:val="20"/>
          <w:lang w:val="en-GB" w:eastAsia="en-GB"/>
        </w:rPr>
        <w:t xml:space="preserve"> </w:t>
      </w:r>
      <w:r w:rsidR="00716F3B" w:rsidRPr="0057197B">
        <w:rPr>
          <w:rFonts w:ascii="Arial" w:eastAsia="Times New Roman" w:hAnsi="Arial" w:cs="Arial"/>
          <w:noProof/>
          <w:sz w:val="20"/>
          <w:szCs w:val="20"/>
          <w:lang w:val="en-GB" w:eastAsia="en-GB"/>
        </w:rPr>
        <w:drawing>
          <wp:inline distT="0" distB="0" distL="0" distR="0" wp14:anchorId="02F62A07" wp14:editId="38B704B8">
            <wp:extent cx="2854800" cy="2142000"/>
            <wp:effectExtent l="0" t="0" r="3175" b="0"/>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4800" cy="2142000"/>
                    </a:xfrm>
                    <a:prstGeom prst="rect">
                      <a:avLst/>
                    </a:prstGeom>
                    <a:noFill/>
                    <a:ln>
                      <a:noFill/>
                    </a:ln>
                  </pic:spPr>
                </pic:pic>
              </a:graphicData>
            </a:graphic>
          </wp:inline>
        </w:drawing>
      </w:r>
    </w:p>
    <w:p w14:paraId="4E66A849" w14:textId="71DAE1BE" w:rsidR="00D25382" w:rsidRDefault="00D25382" w:rsidP="00D25382">
      <w:pPr>
        <w:jc w:val="both"/>
        <w:rPr>
          <w:rFonts w:ascii="Arial" w:eastAsia="Times New Roman" w:hAnsi="Arial" w:cs="Arial"/>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5</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Pr>
          <w:rFonts w:ascii="Arial" w:eastAsia="Times New Roman" w:hAnsi="Arial" w:cs="Arial"/>
          <w:sz w:val="20"/>
          <w:szCs w:val="20"/>
          <w:lang w:val="en-US"/>
        </w:rPr>
        <w:t xml:space="preserve">Representative </w:t>
      </w:r>
      <w:r w:rsidRPr="0057197B">
        <w:rPr>
          <w:rFonts w:ascii="Arial" w:eastAsia="Times New Roman" w:hAnsi="Arial" w:cs="Arial"/>
          <w:sz w:val="20"/>
          <w:szCs w:val="20"/>
          <w:lang w:val="en-US"/>
        </w:rPr>
        <w:t>Clausius-Clapeyron plot</w:t>
      </w:r>
      <w:r>
        <w:rPr>
          <w:rFonts w:ascii="Arial" w:eastAsia="Times New Roman" w:hAnsi="Arial" w:cs="Arial"/>
          <w:sz w:val="20"/>
          <w:szCs w:val="20"/>
          <w:lang w:val="en-US"/>
        </w:rPr>
        <w:t>s</w:t>
      </w:r>
      <w:r w:rsidRPr="0057197B">
        <w:rPr>
          <w:rFonts w:ascii="Arial" w:eastAsia="Times New Roman" w:hAnsi="Arial" w:cs="Arial"/>
          <w:sz w:val="20"/>
          <w:szCs w:val="20"/>
          <w:lang w:val="en-US"/>
        </w:rPr>
        <w:t xml:space="preserve"> for </w:t>
      </w:r>
      <w:r>
        <w:rPr>
          <w:rFonts w:ascii="Arial" w:eastAsia="Times New Roman" w:hAnsi="Arial" w:cs="Arial"/>
          <w:sz w:val="20"/>
          <w:szCs w:val="20"/>
          <w:lang w:val="en-US"/>
        </w:rPr>
        <w:t xml:space="preserve">selected compounds and </w:t>
      </w:r>
      <w:r w:rsidRPr="0057197B">
        <w:rPr>
          <w:rFonts w:ascii="Arial" w:eastAsia="Times New Roman" w:hAnsi="Arial" w:cs="Arial"/>
          <w:sz w:val="20"/>
          <w:szCs w:val="20"/>
          <w:lang w:val="en-US"/>
        </w:rPr>
        <w:t>monitoring stations</w:t>
      </w:r>
      <w:r>
        <w:rPr>
          <w:rFonts w:ascii="Arial" w:eastAsia="Times New Roman" w:hAnsi="Arial" w:cs="Arial"/>
          <w:sz w:val="20"/>
          <w:szCs w:val="20"/>
          <w:lang w:val="en-US"/>
        </w:rPr>
        <w:t xml:space="preserve"> illustrating significant temperature-driven volatilization (p &lt; 0.05)</w:t>
      </w:r>
      <w:r w:rsidRPr="0057197B">
        <w:rPr>
          <w:rFonts w:ascii="Arial" w:eastAsia="Times New Roman" w:hAnsi="Arial" w:cs="Arial"/>
          <w:sz w:val="20"/>
          <w:szCs w:val="20"/>
          <w:lang w:val="en-US"/>
        </w:rPr>
        <w:t>. The graph shows the relationship between the natural logarithm of partial pressure (ln P, Pa)</w:t>
      </w:r>
      <w:r>
        <w:rPr>
          <w:rFonts w:ascii="Arial" w:eastAsia="Times New Roman" w:hAnsi="Arial" w:cs="Arial"/>
          <w:sz w:val="20"/>
          <w:szCs w:val="20"/>
          <w:lang w:val="en-US"/>
        </w:rPr>
        <w:t>,</w:t>
      </w:r>
      <w:r w:rsidRPr="0057197B">
        <w:rPr>
          <w:rFonts w:ascii="Arial" w:eastAsia="Times New Roman" w:hAnsi="Arial" w:cs="Arial"/>
          <w:sz w:val="20"/>
          <w:szCs w:val="20"/>
          <w:lang w:val="en-US"/>
        </w:rPr>
        <w:t xml:space="preserve"> and the inverse of absolute temperature (1/T, K</w:t>
      </w:r>
      <w:r w:rsidRPr="00EE52BB">
        <w:rPr>
          <w:rFonts w:ascii="Arial" w:eastAsia="Times New Roman" w:hAnsi="Arial" w:cs="Arial"/>
          <w:sz w:val="20"/>
          <w:szCs w:val="20"/>
          <w:vertAlign w:val="superscript"/>
          <w:lang w:val="en-US"/>
        </w:rPr>
        <w:t>-1</w:t>
      </w:r>
      <w:r w:rsidRPr="0057197B">
        <w:rPr>
          <w:rFonts w:ascii="Arial" w:eastAsia="Times New Roman" w:hAnsi="Arial" w:cs="Arial"/>
          <w:sz w:val="20"/>
          <w:szCs w:val="20"/>
          <w:lang w:val="en-US"/>
        </w:rPr>
        <w:t>). The red line represents the linear regression fit</w:t>
      </w:r>
      <w:r>
        <w:rPr>
          <w:rFonts w:ascii="Arial" w:eastAsia="Times New Roman" w:hAnsi="Arial" w:cs="Arial"/>
          <w:sz w:val="20"/>
          <w:szCs w:val="20"/>
          <w:lang w:val="en-US"/>
        </w:rPr>
        <w:t>s</w:t>
      </w:r>
      <w:r w:rsidRPr="0057197B">
        <w:rPr>
          <w:rFonts w:ascii="Arial" w:eastAsia="Times New Roman" w:hAnsi="Arial" w:cs="Arial"/>
          <w:sz w:val="20"/>
          <w:szCs w:val="20"/>
          <w:lang w:val="en-US"/>
        </w:rPr>
        <w:t>, with shaded area</w:t>
      </w:r>
      <w:r>
        <w:rPr>
          <w:rFonts w:ascii="Arial" w:eastAsia="Times New Roman" w:hAnsi="Arial" w:cs="Arial"/>
          <w:sz w:val="20"/>
          <w:szCs w:val="20"/>
          <w:lang w:val="en-US"/>
        </w:rPr>
        <w:t>s</w:t>
      </w:r>
      <w:r w:rsidRPr="0057197B">
        <w:rPr>
          <w:rFonts w:ascii="Arial" w:eastAsia="Times New Roman" w:hAnsi="Arial" w:cs="Arial"/>
          <w:sz w:val="20"/>
          <w:szCs w:val="20"/>
          <w:lang w:val="en-US"/>
        </w:rPr>
        <w:t xml:space="preserve"> indicating the 95% confidence interval. </w:t>
      </w:r>
      <w:r>
        <w:rPr>
          <w:rFonts w:ascii="Arial" w:eastAsia="Times New Roman" w:hAnsi="Arial" w:cs="Arial"/>
          <w:sz w:val="20"/>
          <w:szCs w:val="20"/>
          <w:lang w:val="en-US"/>
        </w:rPr>
        <w:br w:type="page"/>
      </w:r>
    </w:p>
    <w:p w14:paraId="3318B582" w14:textId="0660B950" w:rsidR="006D2A76" w:rsidRDefault="00D25382" w:rsidP="00D25382">
      <w:pPr>
        <w:jc w:val="both"/>
        <w:rPr>
          <w:rFonts w:ascii="Arial" w:eastAsia="Times New Roman" w:hAnsi="Arial" w:cs="Arial"/>
          <w:noProof/>
          <w:sz w:val="20"/>
          <w:szCs w:val="20"/>
          <w:lang w:val="en-GB" w:eastAsia="en-GB"/>
        </w:rPr>
      </w:pPr>
      <w:r w:rsidRPr="0057197B">
        <w:rPr>
          <w:rFonts w:ascii="Arial" w:eastAsia="Times New Roman" w:hAnsi="Arial" w:cs="Arial"/>
          <w:noProof/>
          <w:sz w:val="20"/>
          <w:szCs w:val="20"/>
          <w:lang w:val="en-GB" w:eastAsia="en-GB"/>
        </w:rPr>
        <w:lastRenderedPageBreak/>
        <w:drawing>
          <wp:inline distT="0" distB="0" distL="0" distR="0" wp14:anchorId="44C51817" wp14:editId="717BE139">
            <wp:extent cx="2700000" cy="1929600"/>
            <wp:effectExtent l="0" t="0" r="5715"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n 9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00000" cy="1929600"/>
                    </a:xfrm>
                    <a:prstGeom prst="rect">
                      <a:avLst/>
                    </a:prstGeom>
                  </pic:spPr>
                </pic:pic>
              </a:graphicData>
            </a:graphic>
          </wp:inline>
        </w:drawing>
      </w:r>
      <w:r w:rsidR="00EB480B">
        <w:rPr>
          <w:rFonts w:ascii="Arial" w:eastAsia="Times New Roman" w:hAnsi="Arial" w:cs="Arial"/>
          <w:noProof/>
          <w:sz w:val="20"/>
          <w:szCs w:val="20"/>
          <w:lang w:val="en-GB" w:eastAsia="en-GB"/>
        </w:rPr>
        <w:t xml:space="preserve"> </w:t>
      </w:r>
      <w:r w:rsidR="00EB480B" w:rsidRPr="0057197B">
        <w:rPr>
          <w:rFonts w:ascii="Arial" w:eastAsia="Times New Roman" w:hAnsi="Arial" w:cs="Arial"/>
          <w:noProof/>
          <w:sz w:val="20"/>
          <w:szCs w:val="20"/>
          <w:lang w:val="en-GB" w:eastAsia="en-GB"/>
        </w:rPr>
        <w:drawing>
          <wp:inline distT="0" distB="0" distL="0" distR="0" wp14:anchorId="606EC228" wp14:editId="141B5033">
            <wp:extent cx="2682000" cy="1915200"/>
            <wp:effectExtent l="0" t="0" r="4445" b="889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82000" cy="1915200"/>
                    </a:xfrm>
                    <a:prstGeom prst="rect">
                      <a:avLst/>
                    </a:prstGeom>
                  </pic:spPr>
                </pic:pic>
              </a:graphicData>
            </a:graphic>
          </wp:inline>
        </w:drawing>
      </w:r>
      <w:r w:rsidR="00EB480B">
        <w:rPr>
          <w:rFonts w:ascii="Arial" w:eastAsia="Times New Roman" w:hAnsi="Arial" w:cs="Arial"/>
          <w:noProof/>
          <w:sz w:val="20"/>
          <w:szCs w:val="20"/>
          <w:lang w:val="en-GB" w:eastAsia="en-GB"/>
        </w:rPr>
        <w:t xml:space="preserve">  </w:t>
      </w:r>
      <w:r w:rsidR="00EB480B">
        <w:rPr>
          <w:rFonts w:ascii="Arial" w:eastAsia="Times New Roman" w:hAnsi="Arial" w:cs="Arial"/>
          <w:noProof/>
          <w:sz w:val="20"/>
          <w:szCs w:val="20"/>
          <w:lang w:val="en-GB" w:eastAsia="en-GB"/>
        </w:rPr>
        <w:drawing>
          <wp:inline distT="0" distB="0" distL="0" distR="0" wp14:anchorId="6580A9FD" wp14:editId="17E09F03">
            <wp:extent cx="2682000" cy="1915200"/>
            <wp:effectExtent l="0" t="0" r="4445" b="889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2000" cy="1915200"/>
                    </a:xfrm>
                    <a:prstGeom prst="rect">
                      <a:avLst/>
                    </a:prstGeom>
                    <a:noFill/>
                    <a:ln>
                      <a:noFill/>
                    </a:ln>
                  </pic:spPr>
                </pic:pic>
              </a:graphicData>
            </a:graphic>
          </wp:inline>
        </w:drawing>
      </w:r>
      <w:r w:rsidRPr="00F90B77">
        <w:rPr>
          <w:rFonts w:ascii="Arial" w:eastAsia="Times New Roman" w:hAnsi="Arial" w:cs="Arial"/>
          <w:noProof/>
          <w:sz w:val="20"/>
          <w:szCs w:val="20"/>
          <w:lang w:val="en-GB" w:eastAsia="en-GB"/>
        </w:rPr>
        <w:t xml:space="preserve"> </w:t>
      </w:r>
      <w:r>
        <w:rPr>
          <w:rFonts w:ascii="Arial" w:eastAsia="Times New Roman" w:hAnsi="Arial" w:cs="Arial"/>
          <w:noProof/>
          <w:sz w:val="20"/>
          <w:szCs w:val="20"/>
          <w:lang w:val="en-GB" w:eastAsia="en-GB"/>
        </w:rPr>
        <w:drawing>
          <wp:inline distT="0" distB="0" distL="0" distR="0" wp14:anchorId="174C1DAD" wp14:editId="02F44EB3">
            <wp:extent cx="2682000" cy="1915200"/>
            <wp:effectExtent l="0" t="0" r="4445" b="889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82000" cy="1915200"/>
                    </a:xfrm>
                    <a:prstGeom prst="rect">
                      <a:avLst/>
                    </a:prstGeom>
                    <a:noFill/>
                    <a:ln>
                      <a:noFill/>
                    </a:ln>
                  </pic:spPr>
                </pic:pic>
              </a:graphicData>
            </a:graphic>
          </wp:inline>
        </w:drawing>
      </w:r>
      <w:r w:rsidR="00EB480B">
        <w:rPr>
          <w:rFonts w:ascii="Arial" w:eastAsia="Times New Roman" w:hAnsi="Arial" w:cs="Arial"/>
          <w:noProof/>
          <w:sz w:val="20"/>
          <w:szCs w:val="20"/>
          <w:lang w:val="en-GB" w:eastAsia="en-GB"/>
        </w:rPr>
        <w:drawing>
          <wp:inline distT="0" distB="0" distL="0" distR="0" wp14:anchorId="6C4B6B03" wp14:editId="17DFF644">
            <wp:extent cx="2682000" cy="1915200"/>
            <wp:effectExtent l="0" t="0" r="4445" b="889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82000" cy="1915200"/>
                    </a:xfrm>
                    <a:prstGeom prst="rect">
                      <a:avLst/>
                    </a:prstGeom>
                    <a:noFill/>
                    <a:ln>
                      <a:noFill/>
                    </a:ln>
                  </pic:spPr>
                </pic:pic>
              </a:graphicData>
            </a:graphic>
          </wp:inline>
        </w:drawing>
      </w:r>
      <w:r w:rsidR="006D2A76">
        <w:rPr>
          <w:rFonts w:ascii="Arial" w:eastAsia="Times New Roman" w:hAnsi="Arial" w:cs="Arial"/>
          <w:noProof/>
          <w:sz w:val="20"/>
          <w:szCs w:val="20"/>
          <w:lang w:val="en-GB" w:eastAsia="en-GB"/>
        </w:rPr>
        <w:t xml:space="preserve"> </w:t>
      </w:r>
      <w:r w:rsidR="006D2A76">
        <w:rPr>
          <w:rFonts w:ascii="Arial" w:eastAsia="Times New Roman" w:hAnsi="Arial" w:cs="Arial"/>
          <w:noProof/>
          <w:sz w:val="20"/>
          <w:szCs w:val="20"/>
          <w:lang w:val="en-GB" w:eastAsia="en-GB"/>
        </w:rPr>
        <w:drawing>
          <wp:inline distT="0" distB="0" distL="0" distR="0" wp14:anchorId="16A70D13" wp14:editId="21AD51BE">
            <wp:extent cx="2682000" cy="1915200"/>
            <wp:effectExtent l="0" t="0" r="4445" b="889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82000" cy="1915200"/>
                    </a:xfrm>
                    <a:prstGeom prst="rect">
                      <a:avLst/>
                    </a:prstGeom>
                    <a:noFill/>
                    <a:ln>
                      <a:noFill/>
                    </a:ln>
                  </pic:spPr>
                </pic:pic>
              </a:graphicData>
            </a:graphic>
          </wp:inline>
        </w:drawing>
      </w:r>
      <w:r w:rsidR="006D2A76">
        <w:rPr>
          <w:rFonts w:ascii="Arial" w:eastAsia="Times New Roman" w:hAnsi="Arial" w:cs="Arial"/>
          <w:noProof/>
          <w:sz w:val="20"/>
          <w:szCs w:val="20"/>
          <w:lang w:val="en-GB" w:eastAsia="en-GB"/>
        </w:rPr>
        <w:drawing>
          <wp:inline distT="0" distB="0" distL="0" distR="0" wp14:anchorId="1A1BC1CF" wp14:editId="425C67D1">
            <wp:extent cx="2682000" cy="1915200"/>
            <wp:effectExtent l="0" t="0" r="4445" b="889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82000" cy="1915200"/>
                    </a:xfrm>
                    <a:prstGeom prst="rect">
                      <a:avLst/>
                    </a:prstGeom>
                    <a:noFill/>
                    <a:ln>
                      <a:noFill/>
                    </a:ln>
                  </pic:spPr>
                </pic:pic>
              </a:graphicData>
            </a:graphic>
          </wp:inline>
        </w:drawing>
      </w:r>
      <w:r w:rsidR="006D2A76">
        <w:rPr>
          <w:rFonts w:ascii="Arial" w:eastAsia="Times New Roman" w:hAnsi="Arial" w:cs="Arial"/>
          <w:noProof/>
          <w:sz w:val="20"/>
          <w:szCs w:val="20"/>
          <w:lang w:val="en-GB" w:eastAsia="en-GB"/>
        </w:rPr>
        <w:t xml:space="preserve">                 </w:t>
      </w:r>
      <w:r w:rsidR="006D2A76">
        <w:rPr>
          <w:rFonts w:ascii="Arial" w:eastAsia="Times New Roman" w:hAnsi="Arial" w:cs="Arial"/>
          <w:noProof/>
          <w:sz w:val="20"/>
          <w:szCs w:val="20"/>
          <w:lang w:val="en-GB" w:eastAsia="en-GB"/>
        </w:rPr>
        <w:drawing>
          <wp:inline distT="0" distB="0" distL="0" distR="0" wp14:anchorId="3DD8EE1D" wp14:editId="4633ABD2">
            <wp:extent cx="2682000" cy="1915200"/>
            <wp:effectExtent l="0" t="0" r="4445" b="889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82000" cy="1915200"/>
                    </a:xfrm>
                    <a:prstGeom prst="rect">
                      <a:avLst/>
                    </a:prstGeom>
                    <a:noFill/>
                    <a:ln>
                      <a:noFill/>
                    </a:ln>
                  </pic:spPr>
                </pic:pic>
              </a:graphicData>
            </a:graphic>
          </wp:inline>
        </w:drawing>
      </w:r>
    </w:p>
    <w:p w14:paraId="65C81496" w14:textId="77777777" w:rsidR="006D2A76" w:rsidRDefault="006D2A76" w:rsidP="00D25382">
      <w:pPr>
        <w:jc w:val="both"/>
        <w:rPr>
          <w:rFonts w:ascii="Arial" w:eastAsia="Times New Roman" w:hAnsi="Arial" w:cs="Arial"/>
          <w:sz w:val="20"/>
          <w:szCs w:val="20"/>
          <w:lang w:val="en-US"/>
        </w:rPr>
      </w:pPr>
      <w:r w:rsidRPr="0057197B">
        <w:rPr>
          <w:rFonts w:ascii="Arial" w:eastAsia="Times New Roman" w:hAnsi="Arial" w:cs="Arial"/>
          <w:b/>
          <w:bCs/>
          <w:sz w:val="20"/>
          <w:szCs w:val="20"/>
          <w:lang w:val="en-US"/>
        </w:rPr>
        <w:t>Figure S</w:t>
      </w:r>
      <w:r>
        <w:rPr>
          <w:rFonts w:ascii="Arial" w:eastAsia="Times New Roman" w:hAnsi="Arial" w:cs="Arial"/>
          <w:b/>
          <w:bCs/>
          <w:sz w:val="20"/>
          <w:szCs w:val="20"/>
          <w:lang w:val="en-US"/>
        </w:rPr>
        <w:t>6</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Pr>
          <w:rFonts w:ascii="Arial" w:eastAsia="Times New Roman" w:hAnsi="Arial" w:cs="Arial"/>
          <w:sz w:val="20"/>
          <w:szCs w:val="20"/>
          <w:lang w:val="en-US"/>
        </w:rPr>
        <w:t>Representative l</w:t>
      </w:r>
      <w:r w:rsidRPr="0057197B">
        <w:rPr>
          <w:rFonts w:ascii="Arial" w:eastAsia="Times New Roman" w:hAnsi="Arial" w:cs="Arial"/>
          <w:sz w:val="20"/>
          <w:szCs w:val="20"/>
          <w:lang w:val="en-US"/>
        </w:rPr>
        <w:t>ong-term temporal trend</w:t>
      </w:r>
      <w:r>
        <w:rPr>
          <w:rFonts w:ascii="Arial" w:eastAsia="Times New Roman" w:hAnsi="Arial" w:cs="Arial"/>
          <w:sz w:val="20"/>
          <w:szCs w:val="20"/>
          <w:lang w:val="en-US"/>
        </w:rPr>
        <w:t>s</w:t>
      </w:r>
      <w:r w:rsidRPr="0057197B">
        <w:rPr>
          <w:rFonts w:ascii="Arial" w:eastAsia="Times New Roman" w:hAnsi="Arial" w:cs="Arial"/>
          <w:sz w:val="20"/>
          <w:szCs w:val="20"/>
          <w:lang w:val="en-US"/>
        </w:rPr>
        <w:t xml:space="preserve"> </w:t>
      </w:r>
      <w:r>
        <w:rPr>
          <w:rFonts w:ascii="Arial" w:eastAsia="Times New Roman" w:hAnsi="Arial" w:cs="Arial"/>
          <w:sz w:val="20"/>
          <w:szCs w:val="20"/>
          <w:lang w:val="en-US"/>
        </w:rPr>
        <w:t>(2</w:t>
      </w:r>
      <w:r w:rsidRPr="0057197B">
        <w:rPr>
          <w:rFonts w:ascii="Arial" w:eastAsia="Times New Roman" w:hAnsi="Arial" w:cs="Arial"/>
          <w:sz w:val="20"/>
          <w:szCs w:val="20"/>
          <w:lang w:val="en-US"/>
        </w:rPr>
        <w:t>009 to 2023</w:t>
      </w:r>
      <w:r>
        <w:rPr>
          <w:rFonts w:ascii="Arial" w:eastAsia="Times New Roman" w:hAnsi="Arial" w:cs="Arial"/>
          <w:sz w:val="20"/>
          <w:szCs w:val="20"/>
          <w:lang w:val="en-US"/>
        </w:rPr>
        <w:t xml:space="preserve">) for selected POPs and monitoring stations. The plots include </w:t>
      </w:r>
      <w:r w:rsidRPr="0057197B">
        <w:rPr>
          <w:rFonts w:ascii="Arial" w:eastAsia="Times New Roman" w:hAnsi="Arial" w:cs="Arial"/>
          <w:sz w:val="20"/>
          <w:szCs w:val="20"/>
          <w:lang w:val="en-US"/>
        </w:rPr>
        <w:t xml:space="preserve">the primary </w:t>
      </w:r>
      <w:r>
        <w:rPr>
          <w:rFonts w:ascii="Arial" w:eastAsia="Times New Roman" w:hAnsi="Arial" w:cs="Arial"/>
          <w:sz w:val="20"/>
          <w:szCs w:val="20"/>
          <w:lang w:val="en-US"/>
        </w:rPr>
        <w:t>regression</w:t>
      </w:r>
      <w:r w:rsidRPr="0057197B">
        <w:rPr>
          <w:rFonts w:ascii="Arial" w:eastAsia="Times New Roman" w:hAnsi="Arial" w:cs="Arial"/>
          <w:sz w:val="20"/>
          <w:szCs w:val="20"/>
          <w:lang w:val="en-US"/>
        </w:rPr>
        <w:t xml:space="preserve"> trend</w:t>
      </w:r>
      <w:r>
        <w:rPr>
          <w:rFonts w:ascii="Arial" w:eastAsia="Times New Roman" w:hAnsi="Arial" w:cs="Arial"/>
          <w:sz w:val="20"/>
          <w:szCs w:val="20"/>
          <w:lang w:val="en-US"/>
        </w:rPr>
        <w:t>s</w:t>
      </w:r>
      <w:r w:rsidRPr="0057197B">
        <w:rPr>
          <w:rFonts w:ascii="Arial" w:eastAsia="Times New Roman" w:hAnsi="Arial" w:cs="Arial"/>
          <w:sz w:val="20"/>
          <w:szCs w:val="20"/>
          <w:lang w:val="en-US"/>
        </w:rPr>
        <w:t xml:space="preserve"> (red line</w:t>
      </w:r>
      <w:r>
        <w:rPr>
          <w:rFonts w:ascii="Arial" w:eastAsia="Times New Roman" w:hAnsi="Arial" w:cs="Arial"/>
          <w:sz w:val="20"/>
          <w:szCs w:val="20"/>
          <w:lang w:val="en-US"/>
        </w:rPr>
        <w:t>s</w:t>
      </w:r>
      <w:r w:rsidRPr="0057197B">
        <w:rPr>
          <w:rFonts w:ascii="Arial" w:eastAsia="Times New Roman" w:hAnsi="Arial" w:cs="Arial"/>
          <w:sz w:val="20"/>
          <w:szCs w:val="20"/>
          <w:lang w:val="en-US"/>
        </w:rPr>
        <w:t>), Annual Percentage Change (APC), statistical power, and significance level (</w:t>
      </w:r>
      <w:r w:rsidRPr="0057197B">
        <w:rPr>
          <w:rFonts w:ascii="Arial" w:eastAsia="Times New Roman" w:hAnsi="Arial" w:cs="Arial"/>
          <w:i/>
          <w:iCs/>
          <w:sz w:val="20"/>
          <w:szCs w:val="20"/>
          <w:lang w:val="en-US"/>
        </w:rPr>
        <w:t>p</w:t>
      </w:r>
      <w:r w:rsidRPr="0057197B">
        <w:rPr>
          <w:rFonts w:ascii="Arial" w:eastAsia="Times New Roman" w:hAnsi="Arial" w:cs="Arial"/>
          <w:sz w:val="20"/>
          <w:szCs w:val="20"/>
          <w:lang w:val="en-US"/>
        </w:rPr>
        <w:t>). Shaded areas represent the 95% confidence interval.</w:t>
      </w:r>
    </w:p>
    <w:p w14:paraId="04758D9A" w14:textId="2E13533B" w:rsidR="006D2A76" w:rsidRDefault="006D2A76" w:rsidP="00D25382">
      <w:pPr>
        <w:jc w:val="both"/>
        <w:rPr>
          <w:rFonts w:ascii="Arial" w:hAnsi="Arial" w:cs="Arial"/>
          <w:noProof/>
          <w:sz w:val="20"/>
          <w:szCs w:val="20"/>
          <w:lang w:val="en-GB" w:eastAsia="en-GB"/>
        </w:rPr>
      </w:pPr>
    </w:p>
    <w:p w14:paraId="366CC491" w14:textId="77777777" w:rsidR="006D2A76" w:rsidRDefault="006D2A76" w:rsidP="00D25382">
      <w:pPr>
        <w:jc w:val="both"/>
        <w:rPr>
          <w:rFonts w:ascii="Arial" w:hAnsi="Arial" w:cs="Arial"/>
          <w:noProof/>
          <w:sz w:val="20"/>
          <w:szCs w:val="20"/>
          <w:lang w:val="en-GB" w:eastAsia="en-GB"/>
        </w:rPr>
      </w:pPr>
    </w:p>
    <w:bookmarkEnd w:id="10"/>
    <w:p w14:paraId="4EA1C5F0" w14:textId="2F335F1B" w:rsidR="00193227" w:rsidRDefault="0017120D" w:rsidP="0017120D">
      <w:pPr>
        <w:jc w:val="center"/>
        <w:rPr>
          <w:rFonts w:ascii="Arial" w:hAnsi="Arial" w:cs="Arial"/>
          <w:sz w:val="20"/>
          <w:szCs w:val="20"/>
          <w:lang w:val="en-US"/>
        </w:rPr>
      </w:pPr>
      <w:r w:rsidRPr="0057197B">
        <w:rPr>
          <w:rFonts w:ascii="Arial" w:hAnsi="Arial" w:cs="Arial"/>
          <w:noProof/>
          <w:sz w:val="20"/>
          <w:szCs w:val="20"/>
          <w:lang w:val="en-GB" w:eastAsia="en-GB"/>
        </w:rPr>
        <w:lastRenderedPageBreak/>
        <w:drawing>
          <wp:inline distT="0" distB="0" distL="0" distR="0" wp14:anchorId="7B4E9FE8" wp14:editId="32864F67">
            <wp:extent cx="5796000" cy="28980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96000" cy="2898000"/>
                    </a:xfrm>
                    <a:prstGeom prst="rect">
                      <a:avLst/>
                    </a:prstGeom>
                  </pic:spPr>
                </pic:pic>
              </a:graphicData>
            </a:graphic>
          </wp:inline>
        </w:drawing>
      </w:r>
    </w:p>
    <w:p w14:paraId="60D45D42" w14:textId="77777777" w:rsidR="00193227" w:rsidRDefault="00193227" w:rsidP="0017120D">
      <w:pPr>
        <w:jc w:val="center"/>
        <w:rPr>
          <w:rFonts w:ascii="Arial" w:hAnsi="Arial" w:cs="Arial"/>
          <w:sz w:val="20"/>
          <w:szCs w:val="20"/>
          <w:lang w:val="en-US"/>
        </w:rPr>
      </w:pPr>
    </w:p>
    <w:p w14:paraId="2ED3B60D" w14:textId="27C86A46" w:rsidR="0017120D" w:rsidRDefault="0017120D" w:rsidP="0017120D">
      <w:pPr>
        <w:jc w:val="center"/>
        <w:rPr>
          <w:rFonts w:ascii="Arial" w:hAnsi="Arial" w:cs="Arial"/>
          <w:sz w:val="20"/>
          <w:szCs w:val="20"/>
          <w:lang w:val="en-US"/>
        </w:rPr>
      </w:pPr>
      <w:r w:rsidRPr="0057197B">
        <w:rPr>
          <w:rFonts w:ascii="Arial" w:hAnsi="Arial" w:cs="Arial"/>
          <w:noProof/>
          <w:sz w:val="20"/>
          <w:szCs w:val="20"/>
          <w:lang w:val="en-GB" w:eastAsia="en-GB"/>
        </w:rPr>
        <w:drawing>
          <wp:inline distT="0" distB="0" distL="0" distR="0" wp14:anchorId="0EE35AE7" wp14:editId="65A0F0F1">
            <wp:extent cx="5839200" cy="2919600"/>
            <wp:effectExtent l="0" t="0" r="0"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n 10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39200" cy="2919600"/>
                    </a:xfrm>
                    <a:prstGeom prst="rect">
                      <a:avLst/>
                    </a:prstGeom>
                  </pic:spPr>
                </pic:pic>
              </a:graphicData>
            </a:graphic>
          </wp:inline>
        </w:drawing>
      </w:r>
    </w:p>
    <w:p w14:paraId="0AFBDCB4" w14:textId="227D46D6" w:rsidR="0017120D" w:rsidRPr="0057197B" w:rsidRDefault="0017120D" w:rsidP="0017120D">
      <w:pPr>
        <w:spacing w:after="0" w:line="240" w:lineRule="auto"/>
        <w:jc w:val="both"/>
        <w:rPr>
          <w:rFonts w:ascii="Arial" w:eastAsia="Times New Roman" w:hAnsi="Arial" w:cs="Arial"/>
          <w:sz w:val="20"/>
          <w:szCs w:val="20"/>
          <w:lang w:val="en-US"/>
        </w:rPr>
      </w:pPr>
      <w:r w:rsidRPr="0057197B">
        <w:rPr>
          <w:rFonts w:ascii="Arial" w:eastAsia="Times New Roman" w:hAnsi="Arial" w:cs="Arial"/>
          <w:b/>
          <w:bCs/>
          <w:sz w:val="20"/>
          <w:szCs w:val="20"/>
          <w:lang w:val="en-US"/>
        </w:rPr>
        <w:t>Figure S</w:t>
      </w:r>
      <w:r w:rsidR="0086430F">
        <w:rPr>
          <w:rFonts w:ascii="Arial" w:eastAsia="Times New Roman" w:hAnsi="Arial" w:cs="Arial"/>
          <w:b/>
          <w:bCs/>
          <w:sz w:val="20"/>
          <w:szCs w:val="20"/>
          <w:lang w:val="en-US"/>
        </w:rPr>
        <w:t>7</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Atmospheric concentrations (pg/m³) of </w:t>
      </w:r>
      <w:r w:rsidR="00164BFE">
        <w:rPr>
          <w:rFonts w:ascii="Arial" w:eastAsia="Times New Roman" w:hAnsi="Arial" w:cs="Arial"/>
          <w:sz w:val="20"/>
          <w:szCs w:val="20"/>
          <w:lang w:val="en-US"/>
        </w:rPr>
        <w:t>α</w:t>
      </w:r>
      <w:r w:rsidRPr="0057197B">
        <w:rPr>
          <w:rFonts w:ascii="Arial" w:eastAsia="Times New Roman" w:hAnsi="Arial" w:cs="Arial"/>
          <w:sz w:val="20"/>
          <w:szCs w:val="20"/>
          <w:lang w:val="en-US"/>
        </w:rPr>
        <w:t xml:space="preserve">- and </w:t>
      </w:r>
      <w:r w:rsidR="00164BFE">
        <w:rPr>
          <w:rFonts w:ascii="Arial" w:eastAsia="Times New Roman" w:hAnsi="Arial" w:cs="Arial"/>
          <w:sz w:val="20"/>
          <w:szCs w:val="20"/>
          <w:lang w:val="en-US"/>
        </w:rPr>
        <w:t>β</w:t>
      </w:r>
      <w:r w:rsidRPr="0057197B">
        <w:rPr>
          <w:rFonts w:ascii="Arial" w:eastAsia="Times New Roman" w:hAnsi="Arial" w:cs="Arial"/>
          <w:sz w:val="20"/>
          <w:szCs w:val="20"/>
          <w:lang w:val="en-US"/>
        </w:rPr>
        <w:t xml:space="preserve">-endosulfan across the </w:t>
      </w:r>
      <w:r w:rsidR="005D583A">
        <w:rPr>
          <w:rFonts w:ascii="Arial" w:eastAsia="Times New Roman" w:hAnsi="Arial" w:cs="Arial"/>
          <w:sz w:val="20"/>
          <w:szCs w:val="20"/>
          <w:lang w:val="en-US"/>
        </w:rPr>
        <w:t>SMP-POPs</w:t>
      </w:r>
      <w:r w:rsidRPr="0057197B">
        <w:rPr>
          <w:rFonts w:ascii="Arial" w:eastAsia="Times New Roman" w:hAnsi="Arial" w:cs="Arial"/>
          <w:sz w:val="20"/>
          <w:szCs w:val="20"/>
          <w:lang w:val="en-US"/>
        </w:rPr>
        <w:t xml:space="preserve"> (2009–2023). Raincloud plots illustrate the data distribution, displaying jittered observations (left), boxplots representing the median and interquartile range</w:t>
      </w:r>
      <w:r w:rsidR="00473F21">
        <w:rPr>
          <w:rFonts w:ascii="Arial" w:eastAsia="Times New Roman" w:hAnsi="Arial" w:cs="Arial"/>
          <w:sz w:val="20"/>
          <w:szCs w:val="20"/>
          <w:lang w:val="en-US"/>
        </w:rPr>
        <w:t xml:space="preserve"> </w:t>
      </w:r>
      <w:r w:rsidRPr="0057197B">
        <w:rPr>
          <w:rFonts w:ascii="Arial" w:eastAsia="Times New Roman" w:hAnsi="Arial" w:cs="Arial"/>
          <w:sz w:val="20"/>
          <w:szCs w:val="20"/>
          <w:lang w:val="en-US"/>
        </w:rPr>
        <w:t>(center), and kernel density shapes (right). The y-axis is shown on log10 scale and sampling sites on the x-axis are grouped by environment type (remote, rural, suburban</w:t>
      </w:r>
      <w:r w:rsidR="006405D0">
        <w:rPr>
          <w:rFonts w:ascii="Arial" w:eastAsia="Times New Roman" w:hAnsi="Arial" w:cs="Arial"/>
          <w:sz w:val="20"/>
          <w:szCs w:val="20"/>
          <w:lang w:val="en-US"/>
        </w:rPr>
        <w:t>,</w:t>
      </w:r>
      <w:r w:rsidRPr="0057197B">
        <w:rPr>
          <w:rFonts w:ascii="Arial" w:eastAsia="Times New Roman" w:hAnsi="Arial" w:cs="Arial"/>
          <w:sz w:val="20"/>
          <w:szCs w:val="20"/>
          <w:lang w:val="en-US"/>
        </w:rPr>
        <w:t xml:space="preserve"> and urban) and ordered alphabetically within each group. </w:t>
      </w:r>
    </w:p>
    <w:p w14:paraId="230F41B8" w14:textId="1B58F049" w:rsidR="0017120D" w:rsidRDefault="0017120D" w:rsidP="0017120D">
      <w:pPr>
        <w:rPr>
          <w:lang w:val="en-US"/>
        </w:rPr>
      </w:pPr>
    </w:p>
    <w:p w14:paraId="3E06DC17" w14:textId="28362158" w:rsidR="0017120D" w:rsidRDefault="0017120D" w:rsidP="0017120D">
      <w:pPr>
        <w:rPr>
          <w:lang w:val="en-US"/>
        </w:rPr>
      </w:pPr>
    </w:p>
    <w:p w14:paraId="3FA9EF48" w14:textId="448C48FE" w:rsidR="0017120D" w:rsidRDefault="00C11732" w:rsidP="0017120D">
      <w:pPr>
        <w:rPr>
          <w:lang w:val="en-US"/>
        </w:rPr>
      </w:pPr>
      <w:r>
        <w:rPr>
          <w:noProof/>
          <w:lang w:val="en-US"/>
        </w:rPr>
        <w:lastRenderedPageBreak/>
        <w:drawing>
          <wp:inline distT="0" distB="0" distL="0" distR="0" wp14:anchorId="54D9073F" wp14:editId="5564347F">
            <wp:extent cx="5530735" cy="3837709"/>
            <wp:effectExtent l="0" t="0" r="0" b="0"/>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n 15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30735" cy="3837709"/>
                    </a:xfrm>
                    <a:prstGeom prst="rect">
                      <a:avLst/>
                    </a:prstGeom>
                  </pic:spPr>
                </pic:pic>
              </a:graphicData>
            </a:graphic>
          </wp:inline>
        </w:drawing>
      </w:r>
    </w:p>
    <w:p w14:paraId="2C7B2E67" w14:textId="003ED0C5" w:rsidR="001F4885" w:rsidRDefault="001F4885" w:rsidP="00CF381E">
      <w:pPr>
        <w:jc w:val="center"/>
        <w:rPr>
          <w:rFonts w:ascii="Arial" w:hAnsi="Arial" w:cs="Arial"/>
          <w:sz w:val="20"/>
          <w:szCs w:val="20"/>
          <w:lang w:val="en-US"/>
        </w:rPr>
      </w:pPr>
    </w:p>
    <w:p w14:paraId="4F20AEC7" w14:textId="5B0D2206" w:rsidR="000C12FC" w:rsidRPr="0057197B" w:rsidRDefault="00462A49" w:rsidP="00CF381E">
      <w:pPr>
        <w:jc w:val="center"/>
        <w:rPr>
          <w:rFonts w:ascii="Arial" w:hAnsi="Arial" w:cs="Arial"/>
          <w:sz w:val="20"/>
          <w:szCs w:val="20"/>
          <w:lang w:val="en-US"/>
        </w:rPr>
      </w:pPr>
      <w:r>
        <w:rPr>
          <w:rFonts w:ascii="Arial" w:hAnsi="Arial" w:cs="Arial"/>
          <w:noProof/>
          <w:sz w:val="20"/>
          <w:szCs w:val="20"/>
          <w:lang w:val="en-GB" w:eastAsia="en-GB"/>
        </w:rPr>
        <w:drawing>
          <wp:inline distT="0" distB="0" distL="0" distR="0" wp14:anchorId="21DF34FF" wp14:editId="1D4C6EB2">
            <wp:extent cx="5455920" cy="3801687"/>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55920" cy="3801687"/>
                    </a:xfrm>
                    <a:prstGeom prst="rect">
                      <a:avLst/>
                    </a:prstGeom>
                  </pic:spPr>
                </pic:pic>
              </a:graphicData>
            </a:graphic>
          </wp:inline>
        </w:drawing>
      </w:r>
    </w:p>
    <w:p w14:paraId="429E1655" w14:textId="79F78089" w:rsidR="001950EC" w:rsidRPr="0057197B" w:rsidRDefault="001F4885" w:rsidP="0017120D">
      <w:pPr>
        <w:jc w:val="both"/>
        <w:rPr>
          <w:rFonts w:ascii="Arial" w:eastAsia="Times New Roman" w:hAnsi="Arial" w:cs="Arial"/>
          <w:sz w:val="20"/>
          <w:szCs w:val="20"/>
          <w:lang w:val="en-US"/>
        </w:rPr>
      </w:pPr>
      <w:r w:rsidRPr="0057197B">
        <w:rPr>
          <w:rFonts w:ascii="Arial" w:hAnsi="Arial" w:cs="Arial"/>
          <w:b/>
          <w:bCs/>
          <w:sz w:val="20"/>
          <w:szCs w:val="20"/>
          <w:lang w:val="en-US"/>
        </w:rPr>
        <w:t>Figure S</w:t>
      </w:r>
      <w:r w:rsidR="0086430F">
        <w:rPr>
          <w:rFonts w:ascii="Arial" w:hAnsi="Arial" w:cs="Arial"/>
          <w:b/>
          <w:bCs/>
          <w:sz w:val="20"/>
          <w:szCs w:val="20"/>
          <w:lang w:val="en-US"/>
        </w:rPr>
        <w:t>8</w:t>
      </w:r>
      <w:r w:rsidRPr="0057197B">
        <w:rPr>
          <w:rFonts w:ascii="Arial" w:hAnsi="Arial" w:cs="Arial"/>
          <w:b/>
          <w:bCs/>
          <w:sz w:val="20"/>
          <w:szCs w:val="20"/>
          <w:lang w:val="en-US"/>
        </w:rPr>
        <w:t>.</w:t>
      </w:r>
      <w:r w:rsidRPr="0057197B">
        <w:rPr>
          <w:rFonts w:ascii="Arial" w:hAnsi="Arial" w:cs="Arial"/>
          <w:sz w:val="20"/>
          <w:szCs w:val="20"/>
          <w:lang w:val="en-US"/>
        </w:rPr>
        <w:t xml:space="preserve"> </w:t>
      </w:r>
      <w:r w:rsidR="009F15F5" w:rsidRPr="0057197B">
        <w:rPr>
          <w:rFonts w:ascii="Arial" w:hAnsi="Arial" w:cs="Arial"/>
          <w:sz w:val="20"/>
          <w:szCs w:val="20"/>
          <w:lang w:val="en-US"/>
        </w:rPr>
        <w:t xml:space="preserve">Spatial distribution of median endosulfan concentrations (pg/m³). Panel A represents α- and </w:t>
      </w:r>
      <w:bookmarkStart w:id="11" w:name="_Hlk224227894"/>
      <w:r w:rsidR="009F15F5" w:rsidRPr="0057197B">
        <w:rPr>
          <w:rFonts w:ascii="Arial" w:hAnsi="Arial" w:cs="Arial"/>
          <w:sz w:val="20"/>
          <w:szCs w:val="20"/>
          <w:lang w:val="en-US"/>
        </w:rPr>
        <w:t>β-</w:t>
      </w:r>
      <w:bookmarkEnd w:id="11"/>
      <w:r w:rsidR="009F15F5" w:rsidRPr="0057197B">
        <w:rPr>
          <w:rFonts w:ascii="Arial" w:hAnsi="Arial" w:cs="Arial"/>
          <w:sz w:val="20"/>
          <w:szCs w:val="20"/>
          <w:lang w:val="en-US"/>
        </w:rPr>
        <w:t xml:space="preserve">endosulfan concentrations using </w:t>
      </w:r>
      <w:r w:rsidR="00A47795">
        <w:rPr>
          <w:rFonts w:ascii="Arial" w:hAnsi="Arial" w:cs="Arial"/>
          <w:sz w:val="20"/>
          <w:szCs w:val="20"/>
          <w:lang w:val="en-US"/>
        </w:rPr>
        <w:t>blue</w:t>
      </w:r>
      <w:r w:rsidR="009F15F5" w:rsidRPr="0057197B">
        <w:rPr>
          <w:rFonts w:ascii="Arial" w:hAnsi="Arial" w:cs="Arial"/>
          <w:sz w:val="20"/>
          <w:szCs w:val="20"/>
          <w:lang w:val="en-US"/>
        </w:rPr>
        <w:t xml:space="preserve"> and </w:t>
      </w:r>
      <w:r w:rsidR="00A47795">
        <w:rPr>
          <w:rFonts w:ascii="Arial" w:hAnsi="Arial" w:cs="Arial"/>
          <w:sz w:val="20"/>
          <w:szCs w:val="20"/>
          <w:lang w:val="en-US"/>
        </w:rPr>
        <w:t>red</w:t>
      </w:r>
      <w:r w:rsidR="009F15F5" w:rsidRPr="0057197B">
        <w:rPr>
          <w:rFonts w:ascii="Arial" w:hAnsi="Arial" w:cs="Arial"/>
          <w:sz w:val="20"/>
          <w:szCs w:val="20"/>
          <w:lang w:val="en-US"/>
        </w:rPr>
        <w:t xml:space="preserve"> bar segments, respectively. Panel B indicates the total concentration (∑endosulfan) with numerical values above the bars. Statistically significant temporal trends are displayed next to the bars, showing the Annual Percentage Change (APC, %) and </w:t>
      </w:r>
      <w:r w:rsidR="001950EC" w:rsidRPr="0057197B">
        <w:rPr>
          <w:rFonts w:ascii="Arial" w:hAnsi="Arial" w:cs="Arial"/>
          <w:sz w:val="20"/>
          <w:szCs w:val="20"/>
          <w:lang w:val="en-US"/>
        </w:rPr>
        <w:t xml:space="preserve">its </w:t>
      </w:r>
      <w:r w:rsidR="009F15F5" w:rsidRPr="0057197B">
        <w:rPr>
          <w:rFonts w:ascii="Arial" w:hAnsi="Arial" w:cs="Arial"/>
          <w:sz w:val="20"/>
          <w:szCs w:val="20"/>
          <w:lang w:val="en-US"/>
        </w:rPr>
        <w:t xml:space="preserve">associated </w:t>
      </w:r>
      <w:r w:rsidR="0017120D" w:rsidRPr="0057197B">
        <w:rPr>
          <w:rFonts w:ascii="Arial" w:hAnsi="Arial" w:cs="Arial"/>
          <w:sz w:val="20"/>
          <w:szCs w:val="20"/>
          <w:lang w:val="en-US"/>
        </w:rPr>
        <w:t>statistical power, indicated by superscripts: a for power ≥ 0.8 and b for power between 0.5 and 0.8</w:t>
      </w:r>
    </w:p>
    <w:p w14:paraId="5E4A2101" w14:textId="4DC33BF4" w:rsidR="001545DC" w:rsidRDefault="00506134" w:rsidP="001545DC">
      <w:pPr>
        <w:rPr>
          <w:lang w:val="en-US"/>
        </w:rPr>
      </w:pPr>
      <w:bookmarkStart w:id="12" w:name="_Hlk224224073"/>
      <w:r>
        <w:rPr>
          <w:noProof/>
          <w:lang w:val="en-GB" w:eastAsia="en-GB"/>
        </w:rPr>
        <w:lastRenderedPageBreak/>
        <w:drawing>
          <wp:inline distT="0" distB="0" distL="0" distR="0" wp14:anchorId="55DFD56F" wp14:editId="37BCA80E">
            <wp:extent cx="5669280" cy="3826625"/>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69280" cy="3826625"/>
                    </a:xfrm>
                    <a:prstGeom prst="rect">
                      <a:avLst/>
                    </a:prstGeom>
                  </pic:spPr>
                </pic:pic>
              </a:graphicData>
            </a:graphic>
          </wp:inline>
        </w:drawing>
      </w:r>
    </w:p>
    <w:p w14:paraId="577EF494" w14:textId="6F0628F4" w:rsidR="001545DC" w:rsidRPr="001545DC" w:rsidRDefault="00506134" w:rsidP="001545DC">
      <w:pPr>
        <w:rPr>
          <w:lang w:val="en-US"/>
        </w:rPr>
      </w:pPr>
      <w:r>
        <w:rPr>
          <w:noProof/>
          <w:lang w:val="en-GB" w:eastAsia="en-GB"/>
        </w:rPr>
        <w:drawing>
          <wp:inline distT="0" distB="0" distL="0" distR="0" wp14:anchorId="5A5E1AA4" wp14:editId="74E26693">
            <wp:extent cx="5447607" cy="379337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47607" cy="3793375"/>
                    </a:xfrm>
                    <a:prstGeom prst="rect">
                      <a:avLst/>
                    </a:prstGeom>
                  </pic:spPr>
                </pic:pic>
              </a:graphicData>
            </a:graphic>
          </wp:inline>
        </w:drawing>
      </w:r>
    </w:p>
    <w:bookmarkEnd w:id="12"/>
    <w:p w14:paraId="443F03D1" w14:textId="02C7AECD" w:rsidR="001E3C36" w:rsidRPr="0057197B" w:rsidRDefault="001E3C36" w:rsidP="001E3C36">
      <w:pPr>
        <w:jc w:val="both"/>
        <w:rPr>
          <w:rFonts w:ascii="Arial" w:hAnsi="Arial" w:cs="Arial"/>
          <w:sz w:val="20"/>
          <w:szCs w:val="20"/>
          <w:lang w:val="en-US"/>
        </w:rPr>
      </w:pPr>
      <w:r w:rsidRPr="0057197B">
        <w:rPr>
          <w:rFonts w:ascii="Arial" w:hAnsi="Arial" w:cs="Arial"/>
          <w:b/>
          <w:bCs/>
          <w:sz w:val="20"/>
          <w:szCs w:val="20"/>
          <w:lang w:val="en-US"/>
        </w:rPr>
        <w:t>Figure S</w:t>
      </w:r>
      <w:r w:rsidR="00EF4CA9">
        <w:rPr>
          <w:rFonts w:ascii="Arial" w:hAnsi="Arial" w:cs="Arial"/>
          <w:b/>
          <w:bCs/>
          <w:sz w:val="20"/>
          <w:szCs w:val="20"/>
          <w:lang w:val="en-US"/>
        </w:rPr>
        <w:t>9</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of median DDX concentrations (pg/m³). Panel A represents ∑DDE, ∑DDD and ∑DDT concentrations using </w:t>
      </w:r>
      <w:r w:rsidR="00A47795">
        <w:rPr>
          <w:rFonts w:ascii="Arial" w:hAnsi="Arial" w:cs="Arial"/>
          <w:sz w:val="20"/>
          <w:szCs w:val="20"/>
          <w:lang w:val="en-US"/>
        </w:rPr>
        <w:t xml:space="preserve">blue, </w:t>
      </w:r>
      <w:r w:rsidRPr="0057197B">
        <w:rPr>
          <w:rFonts w:ascii="Arial" w:hAnsi="Arial" w:cs="Arial"/>
          <w:sz w:val="20"/>
          <w:szCs w:val="20"/>
          <w:lang w:val="en-US"/>
        </w:rPr>
        <w:t>red, and green bar segments, respectively. Panel B indicates the total concentration (∑DDXs) with numerical values above the bars. Statistically significant temporal trends are displayed next to the bars, showing the Annual Percentage Change (APC, %) and its associated statistical power, indicated by superscripts: a for power ≥ 0.8 and b for power between 0.5 and 0.8</w:t>
      </w:r>
      <w:r w:rsidR="00486930" w:rsidRPr="0057197B">
        <w:rPr>
          <w:rFonts w:ascii="Arial" w:hAnsi="Arial" w:cs="Arial"/>
          <w:sz w:val="20"/>
          <w:szCs w:val="20"/>
          <w:lang w:val="en-US"/>
        </w:rPr>
        <w:t>.</w:t>
      </w:r>
    </w:p>
    <w:p w14:paraId="49B90018" w14:textId="61F5FD81" w:rsidR="001B18D2" w:rsidRPr="001B18D2" w:rsidRDefault="00E76162" w:rsidP="001B18D2">
      <w:pPr>
        <w:rPr>
          <w:lang w:val="en-US"/>
        </w:rPr>
      </w:pPr>
      <w:r>
        <w:rPr>
          <w:noProof/>
          <w:lang w:val="en-GB" w:eastAsia="en-GB"/>
        </w:rPr>
        <w:lastRenderedPageBreak/>
        <w:drawing>
          <wp:inline distT="0" distB="0" distL="0" distR="0" wp14:anchorId="350B2BA2" wp14:editId="7480141E">
            <wp:extent cx="5649884" cy="402058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49884" cy="4020589"/>
                    </a:xfrm>
                    <a:prstGeom prst="rect">
                      <a:avLst/>
                    </a:prstGeom>
                  </pic:spPr>
                </pic:pic>
              </a:graphicData>
            </a:graphic>
          </wp:inline>
        </w:drawing>
      </w:r>
    </w:p>
    <w:p w14:paraId="19FD8AA3" w14:textId="7FC7DE5A" w:rsidR="00755B9F" w:rsidRPr="0057197B" w:rsidRDefault="00E76162" w:rsidP="001F4885">
      <w:pPr>
        <w:jc w:val="center"/>
        <w:rPr>
          <w:rFonts w:ascii="Arial" w:hAnsi="Arial" w:cs="Arial"/>
          <w:sz w:val="20"/>
          <w:szCs w:val="20"/>
          <w:lang w:val="en-US"/>
        </w:rPr>
      </w:pPr>
      <w:r>
        <w:rPr>
          <w:rFonts w:ascii="Arial" w:hAnsi="Arial" w:cs="Arial"/>
          <w:noProof/>
          <w:sz w:val="20"/>
          <w:szCs w:val="20"/>
          <w:lang w:val="en-GB" w:eastAsia="en-GB"/>
        </w:rPr>
        <w:drawing>
          <wp:inline distT="0" distB="0" distL="0" distR="0" wp14:anchorId="31AA22E6" wp14:editId="339C03FC">
            <wp:extent cx="5447607" cy="3812771"/>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47607" cy="3812771"/>
                    </a:xfrm>
                    <a:prstGeom prst="rect">
                      <a:avLst/>
                    </a:prstGeom>
                  </pic:spPr>
                </pic:pic>
              </a:graphicData>
            </a:graphic>
          </wp:inline>
        </w:drawing>
      </w:r>
    </w:p>
    <w:p w14:paraId="1C2E9F73" w14:textId="77777777" w:rsidR="00C67026" w:rsidRDefault="00C67026" w:rsidP="00C67026">
      <w:pPr>
        <w:jc w:val="both"/>
        <w:rPr>
          <w:rFonts w:ascii="Arial" w:hAnsi="Arial" w:cs="Arial"/>
          <w:sz w:val="20"/>
          <w:szCs w:val="20"/>
          <w:lang w:val="en-US"/>
        </w:rPr>
      </w:pPr>
      <w:r w:rsidRPr="0057197B">
        <w:rPr>
          <w:rFonts w:ascii="Arial" w:hAnsi="Arial" w:cs="Arial"/>
          <w:b/>
          <w:bCs/>
          <w:sz w:val="20"/>
          <w:szCs w:val="20"/>
          <w:lang w:val="en-US"/>
        </w:rPr>
        <w:t>Figure S1</w:t>
      </w:r>
      <w:r w:rsidR="00EF4CA9">
        <w:rPr>
          <w:rFonts w:ascii="Arial" w:hAnsi="Arial" w:cs="Arial"/>
          <w:b/>
          <w:bCs/>
          <w:sz w:val="20"/>
          <w:szCs w:val="20"/>
          <w:lang w:val="en-US"/>
        </w:rPr>
        <w:t>0</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of median HCH concentrations (pg/m³). Panel A represents α-, β- and γ-HCH concentrations using </w:t>
      </w:r>
      <w:r w:rsidR="00A47795">
        <w:rPr>
          <w:rFonts w:ascii="Arial" w:hAnsi="Arial" w:cs="Arial"/>
          <w:sz w:val="20"/>
          <w:szCs w:val="20"/>
          <w:lang w:val="en-US"/>
        </w:rPr>
        <w:t xml:space="preserve">blue, </w:t>
      </w:r>
      <w:r w:rsidRPr="0057197B">
        <w:rPr>
          <w:rFonts w:ascii="Arial" w:hAnsi="Arial" w:cs="Arial"/>
          <w:sz w:val="20"/>
          <w:szCs w:val="20"/>
          <w:lang w:val="en-US"/>
        </w:rPr>
        <w:t>red, and green bar segments, respectively. Panel B indicates the total concentration (∑HCHs) with numerical values above the bars. Statistically significant temporal trends are displayed next to the bars, showing the Annual Percentage Change (APC, %) and its associated statistical power, indicated by superscripts: a for power ≥ 0.8 and b for power between 0.5 and 0.8.</w:t>
      </w:r>
    </w:p>
    <w:p w14:paraId="43A7CC8E" w14:textId="77777777" w:rsidR="0094447F" w:rsidRPr="0057197B" w:rsidRDefault="0094447F" w:rsidP="0094447F">
      <w:pPr>
        <w:jc w:val="both"/>
        <w:rPr>
          <w:rFonts w:ascii="Arial" w:hAnsi="Arial" w:cs="Arial"/>
          <w:sz w:val="20"/>
          <w:szCs w:val="20"/>
          <w:lang w:val="en-US"/>
        </w:rPr>
      </w:pPr>
      <w:r w:rsidRPr="0057197B">
        <w:rPr>
          <w:rFonts w:ascii="Arial" w:hAnsi="Arial" w:cs="Arial"/>
          <w:noProof/>
          <w:sz w:val="20"/>
          <w:szCs w:val="20"/>
          <w:lang w:val="en-GB" w:eastAsia="en-GB"/>
        </w:rPr>
        <w:lastRenderedPageBreak/>
        <w:drawing>
          <wp:inline distT="0" distB="0" distL="0" distR="0" wp14:anchorId="3923AE88" wp14:editId="28EB760B">
            <wp:extent cx="5926455" cy="2959100"/>
            <wp:effectExtent l="0" t="0" r="0" b="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26455" cy="2959100"/>
                    </a:xfrm>
                    <a:prstGeom prst="rect">
                      <a:avLst/>
                    </a:prstGeom>
                    <a:noFill/>
                    <a:ln>
                      <a:noFill/>
                    </a:ln>
                  </pic:spPr>
                </pic:pic>
              </a:graphicData>
            </a:graphic>
          </wp:inline>
        </w:drawing>
      </w:r>
    </w:p>
    <w:p w14:paraId="175F2BE5" w14:textId="6B2D96AD" w:rsidR="0094447F" w:rsidRDefault="0094447F" w:rsidP="0094447F">
      <w:pPr>
        <w:spacing w:after="0" w:line="240" w:lineRule="auto"/>
        <w:jc w:val="both"/>
        <w:rPr>
          <w:rFonts w:ascii="Arial" w:eastAsia="Times New Roman" w:hAnsi="Arial" w:cs="Arial"/>
          <w:sz w:val="20"/>
          <w:szCs w:val="20"/>
          <w:lang w:val="en-US"/>
        </w:rPr>
      </w:pPr>
      <w:r w:rsidRPr="0057197B">
        <w:rPr>
          <w:rFonts w:ascii="Arial" w:eastAsia="Times New Roman" w:hAnsi="Arial" w:cs="Arial"/>
          <w:b/>
          <w:bCs/>
          <w:sz w:val="20"/>
          <w:szCs w:val="20"/>
          <w:lang w:val="en-US"/>
        </w:rPr>
        <w:t>Figure S1</w:t>
      </w:r>
      <w:r>
        <w:rPr>
          <w:rFonts w:ascii="Arial" w:eastAsia="Times New Roman" w:hAnsi="Arial" w:cs="Arial"/>
          <w:b/>
          <w:bCs/>
          <w:sz w:val="20"/>
          <w:szCs w:val="20"/>
          <w:lang w:val="en-US"/>
        </w:rPr>
        <w:t>1</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Atmospheric concentrations (pg/m³) of iPCBs across the </w:t>
      </w:r>
      <w:r w:rsidR="005D583A">
        <w:rPr>
          <w:rFonts w:ascii="Arial" w:eastAsia="Times New Roman" w:hAnsi="Arial" w:cs="Arial"/>
          <w:sz w:val="20"/>
          <w:szCs w:val="20"/>
          <w:lang w:val="en-US"/>
        </w:rPr>
        <w:t>SMP-POPs</w:t>
      </w:r>
      <w:r w:rsidRPr="0057197B">
        <w:rPr>
          <w:rFonts w:ascii="Arial" w:eastAsia="Times New Roman" w:hAnsi="Arial" w:cs="Arial"/>
          <w:sz w:val="20"/>
          <w:szCs w:val="20"/>
          <w:lang w:val="en-US"/>
        </w:rPr>
        <w:t xml:space="preserve"> (2009–2023). Raincloud plots illustrate the data distribution, displaying jittered observations (left), boxplots representing the median and interquartile range</w:t>
      </w:r>
      <w:r>
        <w:rPr>
          <w:rFonts w:ascii="Arial" w:eastAsia="Times New Roman" w:hAnsi="Arial" w:cs="Arial"/>
          <w:sz w:val="20"/>
          <w:szCs w:val="20"/>
          <w:lang w:val="en-US"/>
        </w:rPr>
        <w:t xml:space="preserve"> </w:t>
      </w:r>
      <w:r w:rsidRPr="0057197B">
        <w:rPr>
          <w:rFonts w:ascii="Arial" w:eastAsia="Times New Roman" w:hAnsi="Arial" w:cs="Arial"/>
          <w:sz w:val="20"/>
          <w:szCs w:val="20"/>
          <w:lang w:val="en-US"/>
        </w:rPr>
        <w:t>(center), and kernel density shapes (right). The y-axis is shown on log10 scale and sampling sites on the x-axis are grouped by environment type (remote, rural, suburban</w:t>
      </w:r>
      <w:r w:rsidR="006405D0">
        <w:rPr>
          <w:rFonts w:ascii="Arial" w:eastAsia="Times New Roman" w:hAnsi="Arial" w:cs="Arial"/>
          <w:sz w:val="20"/>
          <w:szCs w:val="20"/>
          <w:lang w:val="en-US"/>
        </w:rPr>
        <w:t>,</w:t>
      </w:r>
      <w:r w:rsidRPr="0057197B">
        <w:rPr>
          <w:rFonts w:ascii="Arial" w:eastAsia="Times New Roman" w:hAnsi="Arial" w:cs="Arial"/>
          <w:sz w:val="20"/>
          <w:szCs w:val="20"/>
          <w:lang w:val="en-US"/>
        </w:rPr>
        <w:t xml:space="preserve"> and urban) and ordered alphabetically within each group.</w:t>
      </w:r>
    </w:p>
    <w:p w14:paraId="2F5950B6" w14:textId="107A338E" w:rsidR="00193227" w:rsidRDefault="00193227" w:rsidP="0094447F">
      <w:pPr>
        <w:spacing w:after="0" w:line="240" w:lineRule="auto"/>
        <w:jc w:val="both"/>
        <w:rPr>
          <w:rFonts w:ascii="Arial" w:eastAsia="Times New Roman" w:hAnsi="Arial" w:cs="Arial"/>
          <w:sz w:val="20"/>
          <w:szCs w:val="20"/>
          <w:lang w:val="en-US"/>
        </w:rPr>
      </w:pPr>
    </w:p>
    <w:p w14:paraId="3B189578" w14:textId="392AEFFD" w:rsidR="00193227" w:rsidRDefault="00193227" w:rsidP="0094447F">
      <w:pPr>
        <w:spacing w:after="0" w:line="240" w:lineRule="auto"/>
        <w:jc w:val="both"/>
        <w:rPr>
          <w:rFonts w:ascii="Arial" w:eastAsia="Times New Roman" w:hAnsi="Arial" w:cs="Arial"/>
          <w:sz w:val="20"/>
          <w:szCs w:val="20"/>
          <w:lang w:val="en-US"/>
        </w:rPr>
      </w:pPr>
    </w:p>
    <w:p w14:paraId="3F459D1E" w14:textId="77777777" w:rsidR="00193227" w:rsidRPr="0057197B" w:rsidRDefault="00193227" w:rsidP="0094447F">
      <w:pPr>
        <w:spacing w:after="0" w:line="240" w:lineRule="auto"/>
        <w:jc w:val="both"/>
        <w:rPr>
          <w:rFonts w:ascii="Arial" w:eastAsia="Times New Roman" w:hAnsi="Arial" w:cs="Arial"/>
          <w:sz w:val="20"/>
          <w:szCs w:val="20"/>
          <w:lang w:val="en-US"/>
        </w:rPr>
      </w:pPr>
    </w:p>
    <w:p w14:paraId="1311C90F" w14:textId="77777777" w:rsidR="00662358" w:rsidRPr="0057197B" w:rsidRDefault="00662358" w:rsidP="00662358">
      <w:pPr>
        <w:jc w:val="center"/>
        <w:rPr>
          <w:rFonts w:ascii="Arial" w:hAnsi="Arial" w:cs="Arial"/>
          <w:sz w:val="20"/>
          <w:szCs w:val="20"/>
          <w:lang w:val="en-US"/>
        </w:rPr>
      </w:pPr>
      <w:r>
        <w:rPr>
          <w:rFonts w:ascii="Arial" w:hAnsi="Arial" w:cs="Arial"/>
          <w:noProof/>
          <w:sz w:val="20"/>
          <w:szCs w:val="20"/>
          <w:lang w:val="en-GB" w:eastAsia="en-GB"/>
        </w:rPr>
        <w:drawing>
          <wp:inline distT="0" distB="0" distL="0" distR="0" wp14:anchorId="3C69C84B" wp14:editId="4135A6BC">
            <wp:extent cx="4910051" cy="3798916"/>
            <wp:effectExtent l="0" t="0" r="508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10051" cy="3798916"/>
                    </a:xfrm>
                    <a:prstGeom prst="rect">
                      <a:avLst/>
                    </a:prstGeom>
                  </pic:spPr>
                </pic:pic>
              </a:graphicData>
            </a:graphic>
          </wp:inline>
        </w:drawing>
      </w:r>
    </w:p>
    <w:p w14:paraId="2AB59494" w14:textId="1AB4D39F" w:rsidR="00662358" w:rsidRDefault="00662358" w:rsidP="00662358">
      <w:pPr>
        <w:rPr>
          <w:rFonts w:ascii="Arial" w:hAnsi="Arial" w:cs="Arial"/>
          <w:sz w:val="20"/>
          <w:szCs w:val="20"/>
          <w:lang w:val="en-US"/>
        </w:rPr>
      </w:pPr>
      <w:r w:rsidRPr="0057197B">
        <w:rPr>
          <w:rFonts w:ascii="Arial" w:hAnsi="Arial" w:cs="Arial"/>
          <w:b/>
          <w:bCs/>
          <w:sz w:val="20"/>
          <w:szCs w:val="20"/>
          <w:lang w:val="en-US"/>
        </w:rPr>
        <w:t>Figure S</w:t>
      </w:r>
      <w:r>
        <w:rPr>
          <w:rFonts w:ascii="Arial" w:hAnsi="Arial" w:cs="Arial"/>
          <w:b/>
          <w:bCs/>
          <w:sz w:val="20"/>
          <w:szCs w:val="20"/>
          <w:lang w:val="en-US"/>
        </w:rPr>
        <w:t>1</w:t>
      </w:r>
      <w:r w:rsidR="0094447F">
        <w:rPr>
          <w:rFonts w:ascii="Arial" w:hAnsi="Arial" w:cs="Arial"/>
          <w:b/>
          <w:bCs/>
          <w:sz w:val="20"/>
          <w:szCs w:val="20"/>
          <w:lang w:val="en-US"/>
        </w:rPr>
        <w:t>2</w:t>
      </w:r>
      <w:r w:rsidRPr="0057197B">
        <w:rPr>
          <w:rFonts w:ascii="Arial" w:hAnsi="Arial" w:cs="Arial"/>
          <w:b/>
          <w:bCs/>
          <w:sz w:val="20"/>
          <w:szCs w:val="20"/>
          <w:lang w:val="en-US"/>
        </w:rPr>
        <w:t>.</w:t>
      </w:r>
      <w:r w:rsidRPr="0057197B">
        <w:rPr>
          <w:rFonts w:ascii="Arial" w:hAnsi="Arial" w:cs="Arial"/>
          <w:sz w:val="20"/>
          <w:szCs w:val="20"/>
          <w:lang w:val="en-US"/>
        </w:rPr>
        <w:t xml:space="preserve"> Spatial distribution of median total iPCBs (∑iPCB</w:t>
      </w:r>
      <w:r w:rsidR="00A47795">
        <w:rPr>
          <w:rFonts w:ascii="Arial" w:hAnsi="Arial" w:cs="Arial"/>
          <w:sz w:val="20"/>
          <w:szCs w:val="20"/>
          <w:lang w:val="en-US"/>
        </w:rPr>
        <w:t>s</w:t>
      </w:r>
      <w:r w:rsidRPr="0057197B">
        <w:rPr>
          <w:rFonts w:ascii="Arial" w:hAnsi="Arial" w:cs="Arial"/>
          <w:sz w:val="20"/>
          <w:szCs w:val="20"/>
          <w:lang w:val="en-US"/>
        </w:rPr>
        <w:t>) concentrations (pg/m³). Statistically significant temporal trends are displayed next to the bars, showing the Annual Percentage Change (APC, %) and its associated statistical power, indicated by superscripts: a for power ≥ 0.8 and b for power between 0.5 and 0</w:t>
      </w:r>
      <w:r>
        <w:rPr>
          <w:rFonts w:ascii="Arial" w:hAnsi="Arial" w:cs="Arial"/>
          <w:sz w:val="20"/>
          <w:szCs w:val="20"/>
          <w:lang w:val="en-US"/>
        </w:rPr>
        <w:t>.8.</w:t>
      </w:r>
    </w:p>
    <w:p w14:paraId="67ED741F" w14:textId="77777777" w:rsidR="00296A7B" w:rsidRPr="00662358" w:rsidRDefault="00296A7B" w:rsidP="00662358">
      <w:pPr>
        <w:rPr>
          <w:lang w:val="en-US"/>
        </w:rPr>
      </w:pPr>
    </w:p>
    <w:p w14:paraId="7726DAFC" w14:textId="7B2AF196" w:rsidR="0067042E" w:rsidRDefault="0067042E" w:rsidP="002B1CEE">
      <w:pPr>
        <w:spacing w:after="0" w:line="240" w:lineRule="auto"/>
        <w:jc w:val="both"/>
        <w:rPr>
          <w:rFonts w:ascii="Arial" w:hAnsi="Arial" w:cs="Arial"/>
          <w:sz w:val="20"/>
          <w:szCs w:val="20"/>
          <w:lang w:val="en-US"/>
        </w:rPr>
      </w:pPr>
      <w:r w:rsidRPr="0057197B">
        <w:rPr>
          <w:rFonts w:ascii="Arial" w:hAnsi="Arial" w:cs="Arial"/>
          <w:noProof/>
          <w:sz w:val="20"/>
          <w:szCs w:val="20"/>
          <w:lang w:val="en-GB" w:eastAsia="en-GB"/>
        </w:rPr>
        <w:drawing>
          <wp:inline distT="0" distB="0" distL="0" distR="0" wp14:anchorId="12D4717B" wp14:editId="0831DB7F">
            <wp:extent cx="2960370" cy="1653235"/>
            <wp:effectExtent l="0" t="0" r="0" b="444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6949"/>
                    <a:stretch/>
                  </pic:blipFill>
                  <pic:spPr bwMode="auto">
                    <a:xfrm>
                      <a:off x="0" y="0"/>
                      <a:ext cx="2977111" cy="1662584"/>
                    </a:xfrm>
                    <a:prstGeom prst="rect">
                      <a:avLst/>
                    </a:prstGeom>
                    <a:noFill/>
                    <a:ln>
                      <a:noFill/>
                    </a:ln>
                    <a:extLst>
                      <a:ext uri="{53640926-AAD7-44D8-BBD7-CCE9431645EC}">
                        <a14:shadowObscured xmlns:a14="http://schemas.microsoft.com/office/drawing/2010/main"/>
                      </a:ext>
                    </a:extLst>
                  </pic:spPr>
                </pic:pic>
              </a:graphicData>
            </a:graphic>
          </wp:inline>
        </w:drawing>
      </w:r>
      <w:r w:rsidRPr="0057197B">
        <w:rPr>
          <w:rFonts w:ascii="Arial" w:hAnsi="Arial" w:cs="Arial"/>
          <w:noProof/>
          <w:sz w:val="20"/>
          <w:szCs w:val="20"/>
          <w:lang w:val="en-GB" w:eastAsia="en-GB"/>
        </w:rPr>
        <w:drawing>
          <wp:inline distT="0" distB="0" distL="0" distR="0" wp14:anchorId="3982EF0B" wp14:editId="44E564C6">
            <wp:extent cx="2952020" cy="1645920"/>
            <wp:effectExtent l="0" t="0" r="1270"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7130"/>
                    <a:stretch/>
                  </pic:blipFill>
                  <pic:spPr bwMode="auto">
                    <a:xfrm>
                      <a:off x="0" y="0"/>
                      <a:ext cx="2975351" cy="1658928"/>
                    </a:xfrm>
                    <a:prstGeom prst="rect">
                      <a:avLst/>
                    </a:prstGeom>
                    <a:noFill/>
                    <a:ln>
                      <a:noFill/>
                    </a:ln>
                    <a:extLst>
                      <a:ext uri="{53640926-AAD7-44D8-BBD7-CCE9431645EC}">
                        <a14:shadowObscured xmlns:a14="http://schemas.microsoft.com/office/drawing/2010/main"/>
                      </a:ext>
                    </a:extLst>
                  </pic:spPr>
                </pic:pic>
              </a:graphicData>
            </a:graphic>
          </wp:inline>
        </w:drawing>
      </w:r>
    </w:p>
    <w:p w14:paraId="659E33E9" w14:textId="54F20981" w:rsidR="0067042E" w:rsidRDefault="0067042E" w:rsidP="002B1CEE">
      <w:pPr>
        <w:spacing w:after="0" w:line="240" w:lineRule="auto"/>
        <w:jc w:val="both"/>
        <w:rPr>
          <w:rFonts w:ascii="Arial" w:hAnsi="Arial" w:cs="Arial"/>
          <w:sz w:val="20"/>
          <w:szCs w:val="20"/>
          <w:lang w:val="en-US"/>
        </w:rPr>
      </w:pPr>
      <w:r w:rsidRPr="0057197B">
        <w:rPr>
          <w:rFonts w:ascii="Arial" w:hAnsi="Arial" w:cs="Arial"/>
          <w:noProof/>
          <w:sz w:val="20"/>
          <w:szCs w:val="20"/>
          <w:lang w:val="en-GB" w:eastAsia="en-GB"/>
        </w:rPr>
        <w:drawing>
          <wp:inline distT="0" distB="0" distL="0" distR="0" wp14:anchorId="54327E89" wp14:editId="25078410">
            <wp:extent cx="2930865" cy="1638605"/>
            <wp:effectExtent l="0" t="0" r="3175"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6875"/>
                    <a:stretch/>
                  </pic:blipFill>
                  <pic:spPr bwMode="auto">
                    <a:xfrm>
                      <a:off x="0" y="0"/>
                      <a:ext cx="2945898" cy="1647009"/>
                    </a:xfrm>
                    <a:prstGeom prst="rect">
                      <a:avLst/>
                    </a:prstGeom>
                    <a:noFill/>
                    <a:ln>
                      <a:noFill/>
                    </a:ln>
                    <a:extLst>
                      <a:ext uri="{53640926-AAD7-44D8-BBD7-CCE9431645EC}">
                        <a14:shadowObscured xmlns:a14="http://schemas.microsoft.com/office/drawing/2010/main"/>
                      </a:ext>
                    </a:extLst>
                  </pic:spPr>
                </pic:pic>
              </a:graphicData>
            </a:graphic>
          </wp:inline>
        </w:drawing>
      </w:r>
      <w:r w:rsidRPr="0057197B">
        <w:rPr>
          <w:rFonts w:ascii="Arial" w:hAnsi="Arial" w:cs="Arial"/>
          <w:noProof/>
          <w:sz w:val="20"/>
          <w:szCs w:val="20"/>
          <w:lang w:val="en-GB" w:eastAsia="en-GB"/>
        </w:rPr>
        <w:drawing>
          <wp:inline distT="0" distB="0" distL="0" distR="0" wp14:anchorId="646371FA" wp14:editId="49EC52D0">
            <wp:extent cx="2923460" cy="1623974"/>
            <wp:effectExtent l="0" t="0" r="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7473"/>
                    <a:stretch/>
                  </pic:blipFill>
                  <pic:spPr bwMode="auto">
                    <a:xfrm>
                      <a:off x="0" y="0"/>
                      <a:ext cx="2961902" cy="1645328"/>
                    </a:xfrm>
                    <a:prstGeom prst="rect">
                      <a:avLst/>
                    </a:prstGeom>
                    <a:noFill/>
                    <a:ln>
                      <a:noFill/>
                    </a:ln>
                    <a:extLst>
                      <a:ext uri="{53640926-AAD7-44D8-BBD7-CCE9431645EC}">
                        <a14:shadowObscured xmlns:a14="http://schemas.microsoft.com/office/drawing/2010/main"/>
                      </a:ext>
                    </a:extLst>
                  </pic:spPr>
                </pic:pic>
              </a:graphicData>
            </a:graphic>
          </wp:inline>
        </w:drawing>
      </w:r>
    </w:p>
    <w:p w14:paraId="75EE14A2" w14:textId="762BAA06" w:rsidR="0067042E" w:rsidRDefault="006C7D2C" w:rsidP="002B1CEE">
      <w:pPr>
        <w:spacing w:after="0" w:line="240" w:lineRule="auto"/>
        <w:jc w:val="both"/>
        <w:rPr>
          <w:rFonts w:ascii="Arial" w:hAnsi="Arial" w:cs="Arial"/>
          <w:sz w:val="20"/>
          <w:szCs w:val="20"/>
          <w:lang w:val="en-US"/>
        </w:rPr>
      </w:pPr>
      <w:r w:rsidRPr="0057197B">
        <w:rPr>
          <w:rFonts w:ascii="Arial" w:hAnsi="Arial" w:cs="Arial"/>
          <w:noProof/>
          <w:sz w:val="20"/>
          <w:szCs w:val="20"/>
          <w:lang w:val="en-GB" w:eastAsia="en-GB"/>
        </w:rPr>
        <w:drawing>
          <wp:inline distT="0" distB="0" distL="0" distR="0" wp14:anchorId="2A13AF49" wp14:editId="0199D62E">
            <wp:extent cx="2930864" cy="1638604"/>
            <wp:effectExtent l="0" t="0" r="3175"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6875"/>
                    <a:stretch/>
                  </pic:blipFill>
                  <pic:spPr bwMode="auto">
                    <a:xfrm>
                      <a:off x="0" y="0"/>
                      <a:ext cx="2941914" cy="1644782"/>
                    </a:xfrm>
                    <a:prstGeom prst="rect">
                      <a:avLst/>
                    </a:prstGeom>
                    <a:noFill/>
                    <a:ln>
                      <a:noFill/>
                    </a:ln>
                    <a:extLst>
                      <a:ext uri="{53640926-AAD7-44D8-BBD7-CCE9431645EC}">
                        <a14:shadowObscured xmlns:a14="http://schemas.microsoft.com/office/drawing/2010/main"/>
                      </a:ext>
                    </a:extLst>
                  </pic:spPr>
                </pic:pic>
              </a:graphicData>
            </a:graphic>
          </wp:inline>
        </w:drawing>
      </w:r>
      <w:r w:rsidRPr="0057197B">
        <w:rPr>
          <w:rFonts w:ascii="Arial" w:hAnsi="Arial" w:cs="Arial"/>
          <w:noProof/>
          <w:sz w:val="20"/>
          <w:szCs w:val="20"/>
          <w:lang w:val="en-GB" w:eastAsia="en-GB"/>
        </w:rPr>
        <w:drawing>
          <wp:inline distT="0" distB="0" distL="0" distR="0" wp14:anchorId="5D736D88" wp14:editId="2C102735">
            <wp:extent cx="2988945" cy="1667865"/>
            <wp:effectExtent l="0" t="0" r="1905" b="889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7055"/>
                    <a:stretch/>
                  </pic:blipFill>
                  <pic:spPr bwMode="auto">
                    <a:xfrm>
                      <a:off x="0" y="0"/>
                      <a:ext cx="3001480" cy="1674860"/>
                    </a:xfrm>
                    <a:prstGeom prst="rect">
                      <a:avLst/>
                    </a:prstGeom>
                    <a:noFill/>
                    <a:ln>
                      <a:noFill/>
                    </a:ln>
                    <a:extLst>
                      <a:ext uri="{53640926-AAD7-44D8-BBD7-CCE9431645EC}">
                        <a14:shadowObscured xmlns:a14="http://schemas.microsoft.com/office/drawing/2010/main"/>
                      </a:ext>
                    </a:extLst>
                  </pic:spPr>
                </pic:pic>
              </a:graphicData>
            </a:graphic>
          </wp:inline>
        </w:drawing>
      </w:r>
      <w:r w:rsidRPr="0057197B">
        <w:rPr>
          <w:rFonts w:ascii="Arial" w:hAnsi="Arial" w:cs="Arial"/>
          <w:noProof/>
          <w:sz w:val="20"/>
          <w:szCs w:val="20"/>
          <w:lang w:val="en-GB" w:eastAsia="en-GB"/>
        </w:rPr>
        <w:drawing>
          <wp:inline distT="0" distB="0" distL="0" distR="0" wp14:anchorId="6BC4BAE1" wp14:editId="56C8F218">
            <wp:extent cx="2941320" cy="1631289"/>
            <wp:effectExtent l="0" t="0" r="0" b="7620"/>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7621"/>
                    <a:stretch/>
                  </pic:blipFill>
                  <pic:spPr bwMode="auto">
                    <a:xfrm>
                      <a:off x="0" y="0"/>
                      <a:ext cx="2955441" cy="1639121"/>
                    </a:xfrm>
                    <a:prstGeom prst="rect">
                      <a:avLst/>
                    </a:prstGeom>
                    <a:noFill/>
                    <a:ln>
                      <a:noFill/>
                    </a:ln>
                    <a:extLst>
                      <a:ext uri="{53640926-AAD7-44D8-BBD7-CCE9431645EC}">
                        <a14:shadowObscured xmlns:a14="http://schemas.microsoft.com/office/drawing/2010/main"/>
                      </a:ext>
                    </a:extLst>
                  </pic:spPr>
                </pic:pic>
              </a:graphicData>
            </a:graphic>
          </wp:inline>
        </w:drawing>
      </w:r>
      <w:r w:rsidR="0067042E" w:rsidRPr="0057197B">
        <w:rPr>
          <w:rFonts w:ascii="Arial" w:hAnsi="Arial" w:cs="Arial"/>
          <w:noProof/>
          <w:sz w:val="20"/>
          <w:szCs w:val="20"/>
          <w:lang w:val="en-GB" w:eastAsia="en-GB"/>
        </w:rPr>
        <w:drawing>
          <wp:inline distT="0" distB="0" distL="0" distR="0" wp14:anchorId="0426AB9C" wp14:editId="75CBF18C">
            <wp:extent cx="2906536" cy="1623974"/>
            <wp:effectExtent l="0" t="0" r="8255"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6935"/>
                    <a:stretch/>
                  </pic:blipFill>
                  <pic:spPr bwMode="auto">
                    <a:xfrm>
                      <a:off x="0" y="0"/>
                      <a:ext cx="2926837" cy="1635317"/>
                    </a:xfrm>
                    <a:prstGeom prst="rect">
                      <a:avLst/>
                    </a:prstGeom>
                    <a:noFill/>
                    <a:ln>
                      <a:noFill/>
                    </a:ln>
                    <a:extLst>
                      <a:ext uri="{53640926-AAD7-44D8-BBD7-CCE9431645EC}">
                        <a14:shadowObscured xmlns:a14="http://schemas.microsoft.com/office/drawing/2010/main"/>
                      </a:ext>
                    </a:extLst>
                  </pic:spPr>
                </pic:pic>
              </a:graphicData>
            </a:graphic>
          </wp:inline>
        </w:drawing>
      </w:r>
    </w:p>
    <w:p w14:paraId="4645612B" w14:textId="32EC695B" w:rsidR="0001109E" w:rsidRDefault="0001109E" w:rsidP="00BB43BD">
      <w:pPr>
        <w:jc w:val="center"/>
        <w:rPr>
          <w:rFonts w:ascii="Arial" w:eastAsia="Times New Roman" w:hAnsi="Arial" w:cs="Arial"/>
          <w:b/>
          <w:bCs/>
          <w:sz w:val="20"/>
          <w:szCs w:val="20"/>
          <w:lang w:val="en-US"/>
        </w:rPr>
      </w:pPr>
      <w:r>
        <w:rPr>
          <w:rFonts w:ascii="Arial" w:eastAsia="Times New Roman" w:hAnsi="Arial" w:cs="Arial"/>
          <w:b/>
          <w:bCs/>
          <w:noProof/>
          <w:sz w:val="20"/>
          <w:szCs w:val="20"/>
          <w:lang w:val="en-US"/>
        </w:rPr>
        <w:drawing>
          <wp:inline distT="0" distB="0" distL="0" distR="0" wp14:anchorId="38CAE43E" wp14:editId="4DE09EAC">
            <wp:extent cx="2918601" cy="1677725"/>
            <wp:effectExtent l="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4272"/>
                    <a:stretch/>
                  </pic:blipFill>
                  <pic:spPr bwMode="auto">
                    <a:xfrm>
                      <a:off x="0" y="0"/>
                      <a:ext cx="2919600" cy="167829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b/>
          <w:bCs/>
          <w:noProof/>
          <w:sz w:val="20"/>
          <w:szCs w:val="20"/>
          <w:lang w:val="en-US"/>
        </w:rPr>
        <w:drawing>
          <wp:inline distT="0" distB="0" distL="0" distR="0" wp14:anchorId="1226EA3A" wp14:editId="03BF8410">
            <wp:extent cx="2918601" cy="1669774"/>
            <wp:effectExtent l="0" t="0" r="0" b="6985"/>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4726"/>
                    <a:stretch/>
                  </pic:blipFill>
                  <pic:spPr bwMode="auto">
                    <a:xfrm>
                      <a:off x="0" y="0"/>
                      <a:ext cx="2919600" cy="1670346"/>
                    </a:xfrm>
                    <a:prstGeom prst="rect">
                      <a:avLst/>
                    </a:prstGeom>
                    <a:noFill/>
                    <a:ln>
                      <a:noFill/>
                    </a:ln>
                    <a:extLst>
                      <a:ext uri="{53640926-AAD7-44D8-BBD7-CCE9431645EC}">
                        <a14:shadowObscured xmlns:a14="http://schemas.microsoft.com/office/drawing/2010/main"/>
                      </a:ext>
                    </a:extLst>
                  </pic:spPr>
                </pic:pic>
              </a:graphicData>
            </a:graphic>
          </wp:inline>
        </w:drawing>
      </w:r>
    </w:p>
    <w:p w14:paraId="188B59BD" w14:textId="2BBC7D3B" w:rsidR="00FD7F0F" w:rsidRDefault="002B1CEE" w:rsidP="00BB43BD">
      <w:pPr>
        <w:jc w:val="center"/>
        <w:rPr>
          <w:rFonts w:ascii="Arial" w:hAnsi="Arial" w:cs="Arial"/>
          <w:sz w:val="20"/>
          <w:szCs w:val="20"/>
          <w:lang w:val="en-US"/>
        </w:rPr>
      </w:pPr>
      <w:r w:rsidRPr="0057197B">
        <w:rPr>
          <w:rFonts w:ascii="Arial" w:eastAsia="Times New Roman" w:hAnsi="Arial" w:cs="Arial"/>
          <w:b/>
          <w:bCs/>
          <w:sz w:val="20"/>
          <w:szCs w:val="20"/>
          <w:lang w:val="en-US"/>
        </w:rPr>
        <w:t>Figure S</w:t>
      </w:r>
      <w:r w:rsidR="00C70ADE">
        <w:rPr>
          <w:rFonts w:ascii="Arial" w:eastAsia="Times New Roman" w:hAnsi="Arial" w:cs="Arial"/>
          <w:b/>
          <w:bCs/>
          <w:sz w:val="20"/>
          <w:szCs w:val="20"/>
          <w:lang w:val="en-US"/>
        </w:rPr>
        <w:t>1</w:t>
      </w:r>
      <w:r w:rsidR="00EF4CA9">
        <w:rPr>
          <w:rFonts w:ascii="Arial" w:eastAsia="Times New Roman" w:hAnsi="Arial" w:cs="Arial"/>
          <w:b/>
          <w:bCs/>
          <w:sz w:val="20"/>
          <w:szCs w:val="20"/>
          <w:lang w:val="en-US"/>
        </w:rPr>
        <w:t>3</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00EF4CA9">
        <w:rPr>
          <w:rFonts w:ascii="Arial" w:eastAsia="Times New Roman" w:hAnsi="Arial" w:cs="Arial"/>
          <w:sz w:val="20"/>
          <w:szCs w:val="20"/>
          <w:lang w:val="en-US"/>
        </w:rPr>
        <w:t>A</w:t>
      </w:r>
      <w:r w:rsidRPr="0057197B">
        <w:rPr>
          <w:rFonts w:ascii="Arial" w:eastAsia="Times New Roman" w:hAnsi="Arial" w:cs="Arial"/>
          <w:sz w:val="20"/>
          <w:szCs w:val="20"/>
          <w:lang w:val="en-US"/>
        </w:rPr>
        <w:t xml:space="preserve">tmospheric median concentrations (pg/m³) </w:t>
      </w:r>
      <w:r w:rsidRPr="0057197B">
        <w:rPr>
          <w:rFonts w:ascii="Arial" w:hAnsi="Arial" w:cs="Arial"/>
          <w:sz w:val="20"/>
          <w:szCs w:val="20"/>
          <w:lang w:val="en-US"/>
        </w:rPr>
        <w:t>obtained for PCB-28, 52 and 153</w:t>
      </w:r>
      <w:r w:rsidR="00EF4CA9">
        <w:rPr>
          <w:rFonts w:ascii="Arial" w:hAnsi="Arial" w:cs="Arial"/>
          <w:sz w:val="20"/>
          <w:szCs w:val="20"/>
          <w:lang w:val="en-US"/>
        </w:rPr>
        <w:t xml:space="preserve"> </w:t>
      </w:r>
      <w:r w:rsidR="00296A7B">
        <w:rPr>
          <w:rFonts w:ascii="Arial" w:hAnsi="Arial" w:cs="Arial"/>
          <w:sz w:val="20"/>
          <w:szCs w:val="20"/>
          <w:lang w:val="en-US"/>
        </w:rPr>
        <w:t>at</w:t>
      </w:r>
      <w:r w:rsidR="00EF4CA9">
        <w:rPr>
          <w:rFonts w:ascii="Arial" w:hAnsi="Arial" w:cs="Arial"/>
          <w:sz w:val="20"/>
          <w:szCs w:val="20"/>
          <w:lang w:val="en-US"/>
        </w:rPr>
        <w:t xml:space="preserve"> representative monitoring stations</w:t>
      </w:r>
      <w:r w:rsidR="00BB43BD">
        <w:rPr>
          <w:rFonts w:ascii="Arial" w:hAnsi="Arial" w:cs="Arial"/>
          <w:sz w:val="20"/>
          <w:szCs w:val="20"/>
          <w:lang w:val="en-US"/>
        </w:rPr>
        <w:t xml:space="preserve"> </w:t>
      </w:r>
      <w:r w:rsidR="00FD7F0F">
        <w:rPr>
          <w:rFonts w:ascii="Arial" w:hAnsi="Arial" w:cs="Arial"/>
          <w:sz w:val="20"/>
          <w:szCs w:val="20"/>
          <w:lang w:val="en-US"/>
        </w:rPr>
        <w:br w:type="page"/>
      </w:r>
    </w:p>
    <w:p w14:paraId="106BC3C2" w14:textId="6CA96A6D" w:rsidR="0057197B" w:rsidRDefault="0057197B" w:rsidP="0057197B">
      <w:pPr>
        <w:rPr>
          <w:lang w:val="en-US"/>
        </w:rPr>
      </w:pPr>
      <w:bookmarkStart w:id="13" w:name="_Hlk224637803"/>
      <w:r>
        <w:rPr>
          <w:noProof/>
          <w:lang w:val="en-GB" w:eastAsia="en-GB"/>
        </w:rPr>
        <w:lastRenderedPageBreak/>
        <w:drawing>
          <wp:inline distT="0" distB="0" distL="0" distR="0" wp14:anchorId="2DDDBED0" wp14:editId="46B2CA9E">
            <wp:extent cx="5926455" cy="2959100"/>
            <wp:effectExtent l="0" t="0" r="0" b="0"/>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26455" cy="2959100"/>
                    </a:xfrm>
                    <a:prstGeom prst="rect">
                      <a:avLst/>
                    </a:prstGeom>
                    <a:noFill/>
                    <a:ln>
                      <a:noFill/>
                    </a:ln>
                  </pic:spPr>
                </pic:pic>
              </a:graphicData>
            </a:graphic>
          </wp:inline>
        </w:drawing>
      </w:r>
    </w:p>
    <w:p w14:paraId="3A64D255" w14:textId="77777777" w:rsidR="00193227" w:rsidRDefault="00193227" w:rsidP="0057197B">
      <w:pPr>
        <w:rPr>
          <w:lang w:val="en-US"/>
        </w:rPr>
      </w:pPr>
    </w:p>
    <w:p w14:paraId="1BC7D0BF" w14:textId="4A8EE348" w:rsidR="00F128B8" w:rsidRDefault="00F128B8" w:rsidP="0057197B">
      <w:pPr>
        <w:rPr>
          <w:lang w:val="en-US"/>
        </w:rPr>
      </w:pPr>
      <w:r>
        <w:rPr>
          <w:noProof/>
          <w:lang w:val="en-GB" w:eastAsia="en-GB"/>
        </w:rPr>
        <w:drawing>
          <wp:inline distT="0" distB="0" distL="0" distR="0" wp14:anchorId="66B2112D" wp14:editId="5849EB40">
            <wp:extent cx="5926455" cy="2959100"/>
            <wp:effectExtent l="0" t="0" r="0" b="0"/>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26455" cy="2959100"/>
                    </a:xfrm>
                    <a:prstGeom prst="rect">
                      <a:avLst/>
                    </a:prstGeom>
                    <a:noFill/>
                    <a:ln>
                      <a:noFill/>
                    </a:ln>
                  </pic:spPr>
                </pic:pic>
              </a:graphicData>
            </a:graphic>
          </wp:inline>
        </w:drawing>
      </w:r>
    </w:p>
    <w:p w14:paraId="7978E5F4" w14:textId="4EFA607C" w:rsidR="00EF138E" w:rsidRPr="0057197B" w:rsidRDefault="00EF138E" w:rsidP="00EF138E">
      <w:pPr>
        <w:spacing w:after="0" w:line="240" w:lineRule="auto"/>
        <w:jc w:val="both"/>
        <w:rPr>
          <w:rFonts w:ascii="Arial" w:eastAsia="Times New Roman" w:hAnsi="Arial" w:cs="Arial"/>
          <w:sz w:val="20"/>
          <w:szCs w:val="20"/>
          <w:lang w:val="en-US"/>
        </w:rPr>
      </w:pPr>
      <w:r w:rsidRPr="0057197B">
        <w:rPr>
          <w:rFonts w:ascii="Arial" w:eastAsia="Times New Roman" w:hAnsi="Arial" w:cs="Arial"/>
          <w:b/>
          <w:bCs/>
          <w:sz w:val="20"/>
          <w:szCs w:val="20"/>
          <w:lang w:val="en-US"/>
        </w:rPr>
        <w:t>Figure S</w:t>
      </w:r>
      <w:r w:rsidR="00101036">
        <w:rPr>
          <w:rFonts w:ascii="Arial" w:eastAsia="Times New Roman" w:hAnsi="Arial" w:cs="Arial"/>
          <w:b/>
          <w:bCs/>
          <w:sz w:val="20"/>
          <w:szCs w:val="20"/>
          <w:lang w:val="en-US"/>
        </w:rPr>
        <w:t>1</w:t>
      </w:r>
      <w:r w:rsidR="00EF4CA9">
        <w:rPr>
          <w:rFonts w:ascii="Arial" w:eastAsia="Times New Roman" w:hAnsi="Arial" w:cs="Arial"/>
          <w:b/>
          <w:bCs/>
          <w:sz w:val="20"/>
          <w:szCs w:val="20"/>
          <w:lang w:val="en-US"/>
        </w:rPr>
        <w:t>4</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Atmospheric concentrations (pg/m³) </w:t>
      </w:r>
      <w:r>
        <w:rPr>
          <w:rFonts w:ascii="Arial" w:eastAsia="Times New Roman" w:hAnsi="Arial" w:cs="Arial"/>
          <w:sz w:val="20"/>
          <w:szCs w:val="20"/>
          <w:lang w:val="en-US"/>
        </w:rPr>
        <w:t>for the</w:t>
      </w:r>
      <w:r w:rsidRPr="0057197B">
        <w:rPr>
          <w:rFonts w:ascii="Arial" w:eastAsia="Times New Roman" w:hAnsi="Arial" w:cs="Arial"/>
          <w:sz w:val="20"/>
          <w:szCs w:val="20"/>
          <w:lang w:val="en-US"/>
        </w:rPr>
        <w:t xml:space="preserve"> </w:t>
      </w:r>
      <w:r w:rsidRPr="00EF138E">
        <w:rPr>
          <w:rFonts w:ascii="Arial" w:eastAsia="Times New Roman" w:hAnsi="Arial" w:cs="Arial"/>
          <w:sz w:val="20"/>
          <w:szCs w:val="20"/>
          <w:lang w:val="en-US"/>
        </w:rPr>
        <w:t>sum of PBDEs without BDE-209 (∑PBDEwo209) and sum of PBDEs (∑PBDEs)</w:t>
      </w:r>
      <w:r>
        <w:rPr>
          <w:rFonts w:ascii="Arial" w:eastAsia="Times New Roman" w:hAnsi="Arial" w:cs="Arial"/>
          <w:sz w:val="20"/>
          <w:szCs w:val="20"/>
          <w:lang w:val="en-US"/>
        </w:rPr>
        <w:t xml:space="preserve"> across</w:t>
      </w:r>
      <w:r w:rsidRPr="0057197B">
        <w:rPr>
          <w:rFonts w:ascii="Arial" w:eastAsia="Times New Roman" w:hAnsi="Arial" w:cs="Arial"/>
          <w:sz w:val="20"/>
          <w:szCs w:val="20"/>
          <w:lang w:val="en-US"/>
        </w:rPr>
        <w:t xml:space="preserve"> the </w:t>
      </w:r>
      <w:r w:rsidR="005D583A">
        <w:rPr>
          <w:rFonts w:ascii="Arial" w:eastAsia="Times New Roman" w:hAnsi="Arial" w:cs="Arial"/>
          <w:sz w:val="20"/>
          <w:szCs w:val="20"/>
          <w:lang w:val="en-US"/>
        </w:rPr>
        <w:t>SMP-POPs</w:t>
      </w:r>
      <w:r w:rsidRPr="0057197B">
        <w:rPr>
          <w:rFonts w:ascii="Arial" w:eastAsia="Times New Roman" w:hAnsi="Arial" w:cs="Arial"/>
          <w:sz w:val="20"/>
          <w:szCs w:val="20"/>
          <w:lang w:val="en-US"/>
        </w:rPr>
        <w:t xml:space="preserve"> (2009–2023). Raincloud plots illustrate the data distribution, displaying jittered observations (left), boxplots representing the median and interquartile range</w:t>
      </w:r>
      <w:r w:rsidR="00473F21">
        <w:rPr>
          <w:rFonts w:ascii="Arial" w:eastAsia="Times New Roman" w:hAnsi="Arial" w:cs="Arial"/>
          <w:sz w:val="20"/>
          <w:szCs w:val="20"/>
          <w:lang w:val="en-US"/>
        </w:rPr>
        <w:t xml:space="preserve"> </w:t>
      </w:r>
      <w:r w:rsidRPr="0057197B">
        <w:rPr>
          <w:rFonts w:ascii="Arial" w:eastAsia="Times New Roman" w:hAnsi="Arial" w:cs="Arial"/>
          <w:sz w:val="20"/>
          <w:szCs w:val="20"/>
          <w:lang w:val="en-US"/>
        </w:rPr>
        <w:t>(center), and kernel density shapes (right). The y-axis is shown on log10 scale and sampling sites on the x-axis are grouped by environment type (remote, rural, suburban</w:t>
      </w:r>
      <w:r w:rsidR="006405D0">
        <w:rPr>
          <w:rFonts w:ascii="Arial" w:eastAsia="Times New Roman" w:hAnsi="Arial" w:cs="Arial"/>
          <w:sz w:val="20"/>
          <w:szCs w:val="20"/>
          <w:lang w:val="en-US"/>
        </w:rPr>
        <w:t>,</w:t>
      </w:r>
      <w:r w:rsidRPr="0057197B">
        <w:rPr>
          <w:rFonts w:ascii="Arial" w:eastAsia="Times New Roman" w:hAnsi="Arial" w:cs="Arial"/>
          <w:sz w:val="20"/>
          <w:szCs w:val="20"/>
          <w:lang w:val="en-US"/>
        </w:rPr>
        <w:t xml:space="preserve"> and urban) and ordered alphabetically within each group. </w:t>
      </w:r>
    </w:p>
    <w:p w14:paraId="1BFE5C06" w14:textId="77777777" w:rsidR="0057197B" w:rsidRPr="0057197B" w:rsidRDefault="0057197B" w:rsidP="0057197B">
      <w:pPr>
        <w:rPr>
          <w:lang w:val="en-US"/>
        </w:rPr>
      </w:pPr>
    </w:p>
    <w:p w14:paraId="63CBE93A" w14:textId="7C4A717B" w:rsidR="000E3D48" w:rsidRDefault="007A3A89" w:rsidP="000E3D48">
      <w:pPr>
        <w:jc w:val="center"/>
        <w:rPr>
          <w:rFonts w:ascii="Arial" w:hAnsi="Arial" w:cs="Arial"/>
          <w:sz w:val="20"/>
          <w:szCs w:val="20"/>
          <w:lang w:val="en-US"/>
        </w:rPr>
      </w:pPr>
      <w:r>
        <w:rPr>
          <w:rFonts w:ascii="Arial" w:hAnsi="Arial" w:cs="Arial"/>
          <w:noProof/>
          <w:sz w:val="20"/>
          <w:szCs w:val="20"/>
          <w:lang w:val="en-GB" w:eastAsia="en-GB"/>
        </w:rPr>
        <w:lastRenderedPageBreak/>
        <w:drawing>
          <wp:inline distT="0" distB="0" distL="0" distR="0" wp14:anchorId="4EF06E53" wp14:editId="41B64AA3">
            <wp:extent cx="5583382" cy="379891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583382" cy="3798916"/>
                    </a:xfrm>
                    <a:prstGeom prst="rect">
                      <a:avLst/>
                    </a:prstGeom>
                  </pic:spPr>
                </pic:pic>
              </a:graphicData>
            </a:graphic>
          </wp:inline>
        </w:drawing>
      </w:r>
    </w:p>
    <w:p w14:paraId="4B9699CB" w14:textId="1DC48E9D" w:rsidR="00064418" w:rsidRPr="0057197B" w:rsidRDefault="007A3A89" w:rsidP="000E3D48">
      <w:pPr>
        <w:jc w:val="center"/>
        <w:rPr>
          <w:rFonts w:ascii="Arial" w:hAnsi="Arial" w:cs="Arial"/>
          <w:sz w:val="20"/>
          <w:szCs w:val="20"/>
          <w:lang w:val="en-US"/>
        </w:rPr>
      </w:pPr>
      <w:r>
        <w:rPr>
          <w:rFonts w:ascii="Arial" w:hAnsi="Arial" w:cs="Arial"/>
          <w:noProof/>
          <w:sz w:val="20"/>
          <w:szCs w:val="20"/>
          <w:lang w:val="en-GB" w:eastAsia="en-GB"/>
        </w:rPr>
        <w:drawing>
          <wp:inline distT="0" distB="0" distL="0" distR="0" wp14:anchorId="189FDBAE" wp14:editId="17965460">
            <wp:extent cx="5497484" cy="3829396"/>
            <wp:effectExtent l="0" t="0" r="825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97484" cy="3829396"/>
                    </a:xfrm>
                    <a:prstGeom prst="rect">
                      <a:avLst/>
                    </a:prstGeom>
                  </pic:spPr>
                </pic:pic>
              </a:graphicData>
            </a:graphic>
          </wp:inline>
        </w:drawing>
      </w:r>
    </w:p>
    <w:p w14:paraId="54C74F65" w14:textId="38E80F4E" w:rsidR="0092390F" w:rsidRDefault="0092390F" w:rsidP="000E3D48">
      <w:pPr>
        <w:jc w:val="both"/>
        <w:rPr>
          <w:rFonts w:ascii="Arial" w:hAnsi="Arial" w:cs="Arial"/>
          <w:sz w:val="20"/>
          <w:szCs w:val="20"/>
          <w:lang w:val="en-US"/>
        </w:rPr>
      </w:pPr>
      <w:r w:rsidRPr="0057197B">
        <w:rPr>
          <w:rFonts w:ascii="Arial" w:hAnsi="Arial" w:cs="Arial"/>
          <w:b/>
          <w:bCs/>
          <w:sz w:val="20"/>
          <w:szCs w:val="20"/>
          <w:lang w:val="en-US"/>
        </w:rPr>
        <w:t>Figure S</w:t>
      </w:r>
      <w:r w:rsidR="00101036">
        <w:rPr>
          <w:rFonts w:ascii="Arial" w:hAnsi="Arial" w:cs="Arial"/>
          <w:b/>
          <w:bCs/>
          <w:sz w:val="20"/>
          <w:szCs w:val="20"/>
          <w:lang w:val="en-US"/>
        </w:rPr>
        <w:t>1</w:t>
      </w:r>
      <w:r w:rsidR="00EF4CA9">
        <w:rPr>
          <w:rFonts w:ascii="Arial" w:hAnsi="Arial" w:cs="Arial"/>
          <w:b/>
          <w:bCs/>
          <w:sz w:val="20"/>
          <w:szCs w:val="20"/>
          <w:lang w:val="en-US"/>
        </w:rPr>
        <w:t>5</w:t>
      </w:r>
      <w:r w:rsidRPr="0057197B">
        <w:rPr>
          <w:rFonts w:ascii="Arial" w:hAnsi="Arial" w:cs="Arial"/>
          <w:sz w:val="20"/>
          <w:szCs w:val="20"/>
          <w:lang w:val="en-US"/>
        </w:rPr>
        <w:t>. Spatial distribution of median concentrations (pg/m³) for (A) sum of PBDEs without BDE-209 (∑PBDEwo209) and (B) sum of PBDEs (∑PBDEs). Statistically significant temporal trends are displayed next to the bars, showing the Annual Percentage Change (APC, %) and its associated statistical power, indicated by superscripts: a for power ≥ 0.8 and b for power between 0.5 and 0.8</w:t>
      </w:r>
      <w:r w:rsidR="00863044">
        <w:rPr>
          <w:rFonts w:ascii="Arial" w:hAnsi="Arial" w:cs="Arial"/>
          <w:sz w:val="20"/>
          <w:szCs w:val="20"/>
          <w:lang w:val="en-US"/>
        </w:rPr>
        <w:t>.</w:t>
      </w:r>
    </w:p>
    <w:p w14:paraId="672BFDFB" w14:textId="1DBB6E30" w:rsidR="00863044" w:rsidRDefault="00863044" w:rsidP="000E3D48">
      <w:pPr>
        <w:jc w:val="both"/>
        <w:rPr>
          <w:rFonts w:ascii="Arial" w:hAnsi="Arial" w:cs="Arial"/>
          <w:sz w:val="20"/>
          <w:szCs w:val="20"/>
          <w:lang w:val="en-US"/>
        </w:rPr>
      </w:pPr>
    </w:p>
    <w:p w14:paraId="3A7EDF69" w14:textId="304D8CEC" w:rsidR="00863044" w:rsidRDefault="00863044" w:rsidP="000E3D48">
      <w:pPr>
        <w:jc w:val="both"/>
        <w:rPr>
          <w:rFonts w:ascii="Arial" w:hAnsi="Arial" w:cs="Arial"/>
          <w:sz w:val="20"/>
          <w:szCs w:val="20"/>
          <w:lang w:val="en-US"/>
        </w:rPr>
      </w:pPr>
    </w:p>
    <w:p w14:paraId="440D945C" w14:textId="3AC063B8" w:rsidR="0092390F" w:rsidRDefault="00863044" w:rsidP="005A769A">
      <w:pPr>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083925E" wp14:editId="45D8ECC9">
            <wp:extent cx="4730400" cy="2008800"/>
            <wp:effectExtent l="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14989"/>
                    <a:stretch/>
                  </pic:blipFill>
                  <pic:spPr bwMode="auto">
                    <a:xfrm>
                      <a:off x="0" y="0"/>
                      <a:ext cx="4730400" cy="2008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sz w:val="20"/>
          <w:szCs w:val="20"/>
          <w:lang w:val="en-US"/>
        </w:rPr>
        <w:drawing>
          <wp:inline distT="0" distB="0" distL="0" distR="0" wp14:anchorId="008BB29E" wp14:editId="39ECA093">
            <wp:extent cx="4730400" cy="2008800"/>
            <wp:effectExtent l="0" t="0" r="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14989"/>
                    <a:stretch/>
                  </pic:blipFill>
                  <pic:spPr bwMode="auto">
                    <a:xfrm>
                      <a:off x="0" y="0"/>
                      <a:ext cx="4730400" cy="2008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sz w:val="20"/>
          <w:szCs w:val="20"/>
          <w:lang w:val="en-US"/>
        </w:rPr>
        <w:drawing>
          <wp:inline distT="0" distB="0" distL="0" distR="0" wp14:anchorId="7C275991" wp14:editId="531724D3">
            <wp:extent cx="4730400" cy="2012400"/>
            <wp:effectExtent l="0" t="0" r="0" b="6985"/>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14775"/>
                    <a:stretch/>
                  </pic:blipFill>
                  <pic:spPr bwMode="auto">
                    <a:xfrm>
                      <a:off x="0" y="0"/>
                      <a:ext cx="4730400" cy="20124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sz w:val="20"/>
          <w:szCs w:val="20"/>
          <w:lang w:val="en-US"/>
        </w:rPr>
        <w:drawing>
          <wp:inline distT="0" distB="0" distL="0" distR="0" wp14:anchorId="41400E81" wp14:editId="68D51F1A">
            <wp:extent cx="4730400" cy="2361600"/>
            <wp:effectExtent l="0" t="0" r="0" b="635"/>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730400" cy="2361600"/>
                    </a:xfrm>
                    <a:prstGeom prst="rect">
                      <a:avLst/>
                    </a:prstGeom>
                    <a:noFill/>
                    <a:ln>
                      <a:noFill/>
                    </a:ln>
                  </pic:spPr>
                </pic:pic>
              </a:graphicData>
            </a:graphic>
          </wp:inline>
        </w:drawing>
      </w:r>
    </w:p>
    <w:p w14:paraId="7752D269" w14:textId="2D1CD05A" w:rsidR="004E44F6" w:rsidRPr="0057197B" w:rsidRDefault="004E44F6" w:rsidP="004E44F6">
      <w:pPr>
        <w:jc w:val="center"/>
        <w:rPr>
          <w:rFonts w:ascii="Arial" w:hAnsi="Arial" w:cs="Arial"/>
          <w:sz w:val="20"/>
          <w:szCs w:val="20"/>
          <w:lang w:val="en-US"/>
        </w:rPr>
      </w:pPr>
      <w:r w:rsidRPr="0057197B">
        <w:rPr>
          <w:rFonts w:ascii="Arial" w:eastAsia="Times New Roman" w:hAnsi="Arial" w:cs="Arial"/>
          <w:b/>
          <w:bCs/>
          <w:sz w:val="20"/>
          <w:szCs w:val="20"/>
          <w:lang w:val="en-US"/>
        </w:rPr>
        <w:t>Figure S</w:t>
      </w:r>
      <w:r w:rsidR="00296A7B">
        <w:rPr>
          <w:rFonts w:ascii="Arial" w:eastAsia="Times New Roman" w:hAnsi="Arial" w:cs="Arial"/>
          <w:b/>
          <w:bCs/>
          <w:sz w:val="20"/>
          <w:szCs w:val="20"/>
          <w:lang w:val="en-US"/>
        </w:rPr>
        <w:t>16</w:t>
      </w:r>
      <w:r w:rsidRPr="0057197B">
        <w:rPr>
          <w:rFonts w:ascii="Arial" w:eastAsia="Times New Roman" w:hAnsi="Arial" w:cs="Arial"/>
          <w:b/>
          <w:bCs/>
          <w:sz w:val="20"/>
          <w:szCs w:val="20"/>
          <w:lang w:val="en-US"/>
        </w:rPr>
        <w:t>.</w:t>
      </w:r>
      <w:r w:rsidRPr="0057197B">
        <w:rPr>
          <w:rFonts w:ascii="Arial" w:eastAsia="Times New Roman" w:hAnsi="Arial" w:cs="Arial"/>
          <w:sz w:val="20"/>
          <w:szCs w:val="20"/>
          <w:lang w:val="en-US"/>
        </w:rPr>
        <w:t xml:space="preserve"> </w:t>
      </w:r>
      <w:r w:rsidR="00EF4CA9">
        <w:rPr>
          <w:rFonts w:ascii="Arial" w:eastAsia="Times New Roman" w:hAnsi="Arial" w:cs="Arial"/>
          <w:sz w:val="20"/>
          <w:szCs w:val="20"/>
          <w:lang w:val="en-US"/>
        </w:rPr>
        <w:t>A</w:t>
      </w:r>
      <w:r w:rsidRPr="0057197B">
        <w:rPr>
          <w:rFonts w:ascii="Arial" w:eastAsia="Times New Roman" w:hAnsi="Arial" w:cs="Arial"/>
          <w:sz w:val="20"/>
          <w:szCs w:val="20"/>
          <w:lang w:val="en-US"/>
        </w:rPr>
        <w:t xml:space="preserve">tmospheric median concentrations (pg/m³) </w:t>
      </w:r>
      <w:r w:rsidRPr="0057197B">
        <w:rPr>
          <w:rFonts w:ascii="Arial" w:hAnsi="Arial" w:cs="Arial"/>
          <w:sz w:val="20"/>
          <w:szCs w:val="20"/>
          <w:lang w:val="en-US"/>
        </w:rPr>
        <w:t xml:space="preserve">obtained for </w:t>
      </w:r>
      <w:r>
        <w:rPr>
          <w:rFonts w:ascii="Arial" w:hAnsi="Arial" w:cs="Arial"/>
          <w:sz w:val="20"/>
          <w:szCs w:val="20"/>
          <w:lang w:val="en-US"/>
        </w:rPr>
        <w:t>PBDEs</w:t>
      </w:r>
      <w:r w:rsidR="00EF4CA9">
        <w:rPr>
          <w:rFonts w:ascii="Arial" w:hAnsi="Arial" w:cs="Arial"/>
          <w:sz w:val="20"/>
          <w:szCs w:val="20"/>
          <w:lang w:val="en-US"/>
        </w:rPr>
        <w:t xml:space="preserve"> at representative monitoring stations</w:t>
      </w:r>
      <w:r w:rsidRPr="0057197B">
        <w:rPr>
          <w:rFonts w:ascii="Arial" w:hAnsi="Arial" w:cs="Arial"/>
          <w:sz w:val="20"/>
          <w:szCs w:val="20"/>
          <w:lang w:val="en-US"/>
        </w:rPr>
        <w:t>.</w:t>
      </w:r>
    </w:p>
    <w:bookmarkEnd w:id="13"/>
    <w:p w14:paraId="39F4F9C1" w14:textId="69D4C294" w:rsidR="0079589E" w:rsidRDefault="00F128B8" w:rsidP="0079589E">
      <w:pPr>
        <w:jc w:val="center"/>
        <w:rPr>
          <w:rFonts w:ascii="Arial" w:eastAsia="Times New Roman" w:hAnsi="Arial" w:cs="Arial"/>
          <w:sz w:val="20"/>
          <w:szCs w:val="20"/>
          <w:lang w:val="en-US"/>
        </w:rPr>
      </w:pPr>
      <w:r>
        <w:rPr>
          <w:rFonts w:ascii="Arial" w:eastAsia="Times New Roman" w:hAnsi="Arial" w:cs="Arial"/>
          <w:noProof/>
          <w:sz w:val="20"/>
          <w:szCs w:val="20"/>
          <w:lang w:val="en-US"/>
        </w:rPr>
        <w:lastRenderedPageBreak/>
        <w:drawing>
          <wp:inline distT="0" distB="0" distL="0" distR="0" wp14:anchorId="7F88EC30" wp14:editId="08AE158F">
            <wp:extent cx="5004000" cy="4424400"/>
            <wp:effectExtent l="0" t="0" r="635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5200" b="6376"/>
                    <a:stretch/>
                  </pic:blipFill>
                  <pic:spPr bwMode="auto">
                    <a:xfrm>
                      <a:off x="0" y="0"/>
                      <a:ext cx="5004000" cy="44244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104D6129" wp14:editId="16BA6B2B">
            <wp:extent cx="5004000" cy="4402800"/>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5401" b="6582"/>
                    <a:stretch/>
                  </pic:blipFill>
                  <pic:spPr bwMode="auto">
                    <a:xfrm>
                      <a:off x="0" y="0"/>
                      <a:ext cx="5004000" cy="4402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6C2620F3" wp14:editId="508B9AB1">
            <wp:extent cx="4861962" cy="4337290"/>
            <wp:effectExtent l="0" t="0" r="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4800" b="5982"/>
                    <a:stretch/>
                  </pic:blipFill>
                  <pic:spPr bwMode="auto">
                    <a:xfrm>
                      <a:off x="0" y="0"/>
                      <a:ext cx="4866262" cy="434112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78E7F497" wp14:editId="25F8B02E">
            <wp:extent cx="5055259" cy="4622471"/>
            <wp:effectExtent l="0" t="0" r="0" b="698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2401" b="6177"/>
                    <a:stretch/>
                  </pic:blipFill>
                  <pic:spPr bwMode="auto">
                    <a:xfrm>
                      <a:off x="0" y="0"/>
                      <a:ext cx="5062249" cy="462886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2220E12B" wp14:editId="35A56AA3">
            <wp:extent cx="4845681" cy="4343683"/>
            <wp:effectExtent l="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5000" b="5379"/>
                    <a:stretch/>
                  </pic:blipFill>
                  <pic:spPr bwMode="auto">
                    <a:xfrm>
                      <a:off x="0" y="0"/>
                      <a:ext cx="4848980" cy="434664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7D788957" wp14:editId="6EC5CF0F">
            <wp:extent cx="5004000" cy="4525200"/>
            <wp:effectExtent l="0" t="0" r="6350" b="889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4002" b="5573"/>
                    <a:stretch/>
                  </pic:blipFill>
                  <pic:spPr bwMode="auto">
                    <a:xfrm>
                      <a:off x="0" y="0"/>
                      <a:ext cx="5004000" cy="45252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4A6E6060" wp14:editId="1421C66C">
            <wp:extent cx="5004000" cy="4424400"/>
            <wp:effectExtent l="0" t="0" r="635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6001" b="5573"/>
                    <a:stretch/>
                  </pic:blipFill>
                  <pic:spPr bwMode="auto">
                    <a:xfrm>
                      <a:off x="0" y="0"/>
                      <a:ext cx="5004000" cy="44244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351EBE9F" wp14:editId="4E970EDB">
            <wp:extent cx="5004000" cy="4402800"/>
            <wp:effectExtent l="0" t="0" r="635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800" b="6177"/>
                    <a:stretch/>
                  </pic:blipFill>
                  <pic:spPr bwMode="auto">
                    <a:xfrm>
                      <a:off x="0" y="0"/>
                      <a:ext cx="5004000" cy="4402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5A1509D4" wp14:editId="45F7CD98">
            <wp:extent cx="5004000" cy="4485600"/>
            <wp:effectExtent l="0" t="0" r="6350"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4402" b="5977"/>
                    <a:stretch/>
                  </pic:blipFill>
                  <pic:spPr bwMode="auto">
                    <a:xfrm>
                      <a:off x="0" y="0"/>
                      <a:ext cx="5004000" cy="4485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46033A6E" wp14:editId="11214F9C">
            <wp:extent cx="5004000" cy="4485600"/>
            <wp:effectExtent l="0" t="0" r="635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5000" b="5379"/>
                    <a:stretch/>
                  </pic:blipFill>
                  <pic:spPr bwMode="auto">
                    <a:xfrm>
                      <a:off x="0" y="0"/>
                      <a:ext cx="5004000" cy="4485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2A6D9E35" wp14:editId="01756E9E">
            <wp:extent cx="5004000" cy="4485600"/>
            <wp:effectExtent l="0" t="0" r="6350"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4601" b="5775"/>
                    <a:stretch/>
                  </pic:blipFill>
                  <pic:spPr bwMode="auto">
                    <a:xfrm>
                      <a:off x="0" y="0"/>
                      <a:ext cx="5004000" cy="4485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49914F57" wp14:editId="64829AB1">
            <wp:extent cx="5004000" cy="4485600"/>
            <wp:effectExtent l="0" t="0" r="6350"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4402" b="5977"/>
                    <a:stretch/>
                  </pic:blipFill>
                  <pic:spPr bwMode="auto">
                    <a:xfrm>
                      <a:off x="0" y="0"/>
                      <a:ext cx="5004000" cy="4485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669E5E5D" wp14:editId="4DE4FB1E">
            <wp:extent cx="5004000" cy="4453200"/>
            <wp:effectExtent l="0" t="0" r="6350" b="508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800" b="6182"/>
                    <a:stretch/>
                  </pic:blipFill>
                  <pic:spPr bwMode="auto">
                    <a:xfrm>
                      <a:off x="0" y="0"/>
                      <a:ext cx="5004000" cy="44532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6C14CB20" wp14:editId="3B47D5E1">
            <wp:extent cx="5004000" cy="4474800"/>
            <wp:effectExtent l="0" t="0" r="6350" b="254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4800" b="5782"/>
                    <a:stretch/>
                  </pic:blipFill>
                  <pic:spPr bwMode="auto">
                    <a:xfrm>
                      <a:off x="0" y="0"/>
                      <a:ext cx="5004000" cy="4474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5940CDE1" wp14:editId="285AB7BF">
            <wp:extent cx="4881467" cy="4403856"/>
            <wp:effectExtent l="0" t="0" r="0" b="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4601" b="5175"/>
                    <a:stretch/>
                  </pic:blipFill>
                  <pic:spPr bwMode="auto">
                    <a:xfrm>
                      <a:off x="0" y="0"/>
                      <a:ext cx="4883209" cy="440542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6D9815DE" wp14:editId="0C8012B7">
            <wp:extent cx="5004000" cy="4492800"/>
            <wp:effectExtent l="0" t="0" r="6350" b="3175"/>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4402" b="5778"/>
                    <a:stretch/>
                  </pic:blipFill>
                  <pic:spPr bwMode="auto">
                    <a:xfrm>
                      <a:off x="0" y="0"/>
                      <a:ext cx="5004000" cy="4492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4A48A724" wp14:editId="135DB1F0">
            <wp:extent cx="5004000" cy="4474800"/>
            <wp:effectExtent l="0" t="0" r="6350" b="254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5401" b="5183"/>
                    <a:stretch/>
                  </pic:blipFill>
                  <pic:spPr bwMode="auto">
                    <a:xfrm>
                      <a:off x="0" y="0"/>
                      <a:ext cx="5004000" cy="4474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436BFF64" wp14:editId="3403DDB8">
            <wp:extent cx="5004000" cy="4435200"/>
            <wp:effectExtent l="0" t="0" r="6350" b="381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5001" b="6378"/>
                    <a:stretch/>
                  </pic:blipFill>
                  <pic:spPr bwMode="auto">
                    <a:xfrm>
                      <a:off x="0" y="0"/>
                      <a:ext cx="5004000" cy="44352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4443ED3C" wp14:editId="76018979">
            <wp:extent cx="5004000" cy="4503600"/>
            <wp:effectExtent l="0" t="0" r="6350" b="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4800" b="5181"/>
                    <a:stretch/>
                  </pic:blipFill>
                  <pic:spPr bwMode="auto">
                    <a:xfrm>
                      <a:off x="0" y="0"/>
                      <a:ext cx="5004000" cy="4503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74507BDF" wp14:editId="2945CE21">
            <wp:extent cx="5004000" cy="4456800"/>
            <wp:effectExtent l="0" t="0" r="6350" b="127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800" b="6182"/>
                    <a:stretch/>
                  </pic:blipFill>
                  <pic:spPr bwMode="auto">
                    <a:xfrm>
                      <a:off x="0" y="0"/>
                      <a:ext cx="5004000" cy="44568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19EE562E" wp14:editId="4F0C632E">
            <wp:extent cx="5000400" cy="4431600"/>
            <wp:effectExtent l="0" t="0" r="0" b="762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6202" b="5181"/>
                    <a:stretch/>
                  </pic:blipFill>
                  <pic:spPr bwMode="auto">
                    <a:xfrm>
                      <a:off x="0" y="0"/>
                      <a:ext cx="5000400" cy="44316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drawing>
          <wp:inline distT="0" distB="0" distL="0" distR="0" wp14:anchorId="6D84E0F1" wp14:editId="4E2DD334">
            <wp:extent cx="5004000" cy="4514400"/>
            <wp:effectExtent l="0" t="0" r="6350" b="635"/>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4601" b="5175"/>
                    <a:stretch/>
                  </pic:blipFill>
                  <pic:spPr bwMode="auto">
                    <a:xfrm>
                      <a:off x="0" y="0"/>
                      <a:ext cx="5004000" cy="45144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noProof/>
          <w:sz w:val="20"/>
          <w:szCs w:val="20"/>
          <w:lang w:val="en-US"/>
        </w:rPr>
        <w:lastRenderedPageBreak/>
        <w:drawing>
          <wp:inline distT="0" distB="0" distL="0" distR="0" wp14:anchorId="46038FBD" wp14:editId="2EB418F2">
            <wp:extent cx="4932548" cy="4418002"/>
            <wp:effectExtent l="0" t="0" r="1905" b="1905"/>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5602" b="4779"/>
                    <a:stretch/>
                  </pic:blipFill>
                  <pic:spPr bwMode="auto">
                    <a:xfrm>
                      <a:off x="0" y="0"/>
                      <a:ext cx="4934817" cy="4420035"/>
                    </a:xfrm>
                    <a:prstGeom prst="rect">
                      <a:avLst/>
                    </a:prstGeom>
                    <a:noFill/>
                    <a:ln>
                      <a:noFill/>
                    </a:ln>
                    <a:extLst>
                      <a:ext uri="{53640926-AAD7-44D8-BBD7-CCE9431645EC}">
                        <a14:shadowObscured xmlns:a14="http://schemas.microsoft.com/office/drawing/2010/main"/>
                      </a:ext>
                    </a:extLst>
                  </pic:spPr>
                </pic:pic>
              </a:graphicData>
            </a:graphic>
          </wp:inline>
        </w:drawing>
      </w:r>
    </w:p>
    <w:p w14:paraId="2191A328" w14:textId="47D33EAA" w:rsidR="00296A7B" w:rsidRDefault="00296A7B" w:rsidP="00296A7B">
      <w:pPr>
        <w:jc w:val="both"/>
        <w:rPr>
          <w:rFonts w:ascii="Arial" w:eastAsia="Times New Roman" w:hAnsi="Arial" w:cs="Arial"/>
          <w:sz w:val="20"/>
          <w:szCs w:val="20"/>
          <w:lang w:val="en-US"/>
        </w:rPr>
      </w:pPr>
      <w:r w:rsidRPr="0057197B">
        <w:rPr>
          <w:rFonts w:ascii="Arial" w:eastAsia="Times New Roman" w:hAnsi="Arial" w:cs="Arial"/>
          <w:b/>
          <w:bCs/>
          <w:sz w:val="20"/>
          <w:szCs w:val="20"/>
          <w:lang w:val="en-US"/>
        </w:rPr>
        <w:t xml:space="preserve">Figure </w:t>
      </w:r>
      <w:r>
        <w:rPr>
          <w:rFonts w:ascii="Arial" w:eastAsia="Times New Roman" w:hAnsi="Arial" w:cs="Arial"/>
          <w:b/>
          <w:bCs/>
          <w:sz w:val="20"/>
          <w:szCs w:val="20"/>
          <w:lang w:val="en-US"/>
        </w:rPr>
        <w:t>17</w:t>
      </w:r>
      <w:r w:rsidRPr="0057197B">
        <w:rPr>
          <w:rFonts w:ascii="Arial" w:eastAsia="Times New Roman" w:hAnsi="Arial" w:cs="Arial"/>
          <w:sz w:val="20"/>
          <w:szCs w:val="20"/>
          <w:lang w:val="en-US"/>
        </w:rPr>
        <w:t>. Spearman rank correlation matrix of POP atmospheric concentrations in each location. The color scale represents the Spearman correlation coefficient (</w:t>
      </w:r>
      <w:proofErr w:type="spellStart"/>
      <w:r w:rsidRPr="0057197B">
        <w:rPr>
          <w:rFonts w:ascii="Arial" w:eastAsia="Times New Roman" w:hAnsi="Arial" w:cs="Arial"/>
          <w:sz w:val="20"/>
          <w:szCs w:val="20"/>
          <w:lang w:val="en-US"/>
        </w:rPr>
        <w:t>rs</w:t>
      </w:r>
      <w:proofErr w:type="spellEnd"/>
      <w:r w:rsidRPr="0057197B">
        <w:rPr>
          <w:rFonts w:ascii="Arial" w:eastAsia="Times New Roman" w:hAnsi="Arial" w:cs="Arial"/>
          <w:sz w:val="20"/>
          <w:szCs w:val="20"/>
          <w:lang w:val="en-US"/>
        </w:rPr>
        <w:t>), ranging from -1 (dark red, negative correlation) to +1 (dark blue, positive correlation). Asterisks (*) denote statistically significant correlations (p &lt; 0.05). Analytes are ordered using hierarchical clustering (</w:t>
      </w:r>
      <w:r>
        <w:rPr>
          <w:rFonts w:ascii="Arial" w:eastAsia="Times New Roman" w:hAnsi="Arial" w:cs="Arial"/>
          <w:sz w:val="20"/>
          <w:szCs w:val="20"/>
          <w:lang w:val="en-US"/>
        </w:rPr>
        <w:t>H-</w:t>
      </w:r>
      <w:proofErr w:type="spellStart"/>
      <w:r w:rsidRPr="0057197B">
        <w:rPr>
          <w:rFonts w:ascii="Arial" w:eastAsia="Times New Roman" w:hAnsi="Arial" w:cs="Arial"/>
          <w:sz w:val="20"/>
          <w:szCs w:val="20"/>
          <w:lang w:val="en-US"/>
        </w:rPr>
        <w:t>clust</w:t>
      </w:r>
      <w:proofErr w:type="spellEnd"/>
      <w:r w:rsidRPr="0057197B">
        <w:rPr>
          <w:rFonts w:ascii="Arial" w:eastAsia="Times New Roman" w:hAnsi="Arial" w:cs="Arial"/>
          <w:sz w:val="20"/>
          <w:szCs w:val="20"/>
          <w:lang w:val="en-US"/>
        </w:rPr>
        <w:t>)</w:t>
      </w:r>
      <w:r>
        <w:rPr>
          <w:rFonts w:ascii="Arial" w:eastAsia="Times New Roman" w:hAnsi="Arial" w:cs="Arial"/>
          <w:sz w:val="20"/>
          <w:szCs w:val="20"/>
          <w:lang w:val="en-US"/>
        </w:rPr>
        <w:t xml:space="preserve">, </w:t>
      </w:r>
      <w:r w:rsidRPr="0057197B">
        <w:rPr>
          <w:rFonts w:ascii="Arial" w:eastAsia="Times New Roman" w:hAnsi="Arial" w:cs="Arial"/>
          <w:sz w:val="20"/>
          <w:szCs w:val="20"/>
          <w:lang w:val="en-US"/>
        </w:rPr>
        <w:t>revealing distinct co-varying groups such as PBDEs (top-left), DDXs/DDTs (center), and PCBs/HCHs (bottom-right). White cells within the lower triangle indicate non-significant or weak correlations.</w:t>
      </w:r>
    </w:p>
    <w:p w14:paraId="0E17DC99" w14:textId="77777777" w:rsidR="004A129C" w:rsidRPr="0057197B" w:rsidRDefault="004A129C" w:rsidP="00296A7B">
      <w:pPr>
        <w:jc w:val="both"/>
        <w:rPr>
          <w:rFonts w:ascii="Arial" w:eastAsia="Times New Roman" w:hAnsi="Arial" w:cs="Arial"/>
          <w:sz w:val="20"/>
          <w:szCs w:val="20"/>
          <w:lang w:val="en-US"/>
        </w:rPr>
      </w:pPr>
    </w:p>
    <w:p w14:paraId="782E1F81" w14:textId="76E99235" w:rsidR="00B87BBA" w:rsidRDefault="00B87BBA" w:rsidP="001D4722">
      <w:pPr>
        <w:pStyle w:val="Ttulo1"/>
        <w:numPr>
          <w:ilvl w:val="0"/>
          <w:numId w:val="0"/>
        </w:numPr>
        <w:ind w:left="502" w:hanging="360"/>
        <w:rPr>
          <w:rFonts w:eastAsia="Times New Roman"/>
          <w:lang w:val="en-US"/>
        </w:rPr>
      </w:pPr>
      <w:bookmarkStart w:id="14" w:name="_Toc226564340"/>
      <w:r>
        <w:rPr>
          <w:rFonts w:eastAsia="Times New Roman"/>
          <w:lang w:val="en-US"/>
        </w:rPr>
        <w:t>References</w:t>
      </w:r>
      <w:bookmarkEnd w:id="14"/>
    </w:p>
    <w:p w14:paraId="5FF73F31" w14:textId="77777777" w:rsidR="00296A7B" w:rsidRPr="007D239D" w:rsidRDefault="00296A7B" w:rsidP="00296A7B">
      <w:pPr>
        <w:autoSpaceDE w:val="0"/>
        <w:autoSpaceDN w:val="0"/>
        <w:spacing w:after="0" w:line="240" w:lineRule="auto"/>
        <w:ind w:left="567" w:hanging="567"/>
        <w:rPr>
          <w:rFonts w:ascii="Arial" w:eastAsia="Times New Roman" w:hAnsi="Arial" w:cs="Arial"/>
          <w:color w:val="000000"/>
          <w:sz w:val="20"/>
          <w:szCs w:val="20"/>
          <w:lang w:val="en-US"/>
        </w:rPr>
      </w:pPr>
      <w:r w:rsidRPr="007D239D">
        <w:rPr>
          <w:rFonts w:ascii="Arial" w:eastAsia="Times New Roman" w:hAnsi="Arial" w:cs="Arial"/>
          <w:color w:val="000000"/>
          <w:sz w:val="20"/>
          <w:szCs w:val="20"/>
          <w:lang w:val="en-US"/>
        </w:rPr>
        <w:t>AMAP. (2014). Trends in Stockholm Convention Persistent Organic Pollutants (POPS) in Arctic Air, Human Media and Biota. AMAP Technical Report to the Stockholm Convention. AMAP Technical Report No. 7 (2014), Arctic Monitoring and Assessment Programme (AMAP), Oslo, Norway. Arctic Monitoring and Assessment Programme.</w:t>
      </w:r>
    </w:p>
    <w:p w14:paraId="2B402C52" w14:textId="322826EA" w:rsidR="00296A7B" w:rsidRPr="007D239D" w:rsidRDefault="00296A7B" w:rsidP="00296A7B">
      <w:pPr>
        <w:autoSpaceDE w:val="0"/>
        <w:autoSpaceDN w:val="0"/>
        <w:spacing w:after="0" w:line="240" w:lineRule="auto"/>
        <w:ind w:left="567" w:hanging="567"/>
        <w:rPr>
          <w:rFonts w:ascii="Arial" w:eastAsia="Times New Roman" w:hAnsi="Arial" w:cs="Arial"/>
          <w:color w:val="000000"/>
          <w:sz w:val="20"/>
          <w:szCs w:val="20"/>
        </w:rPr>
      </w:pPr>
      <w:r w:rsidRPr="007D239D">
        <w:rPr>
          <w:rFonts w:ascii="Arial" w:eastAsia="Times New Roman" w:hAnsi="Arial" w:cs="Arial"/>
          <w:color w:val="000000"/>
          <w:sz w:val="20"/>
          <w:szCs w:val="20"/>
          <w:lang w:val="en-AE"/>
        </w:rPr>
        <w:t xml:space="preserve">De la Torre, A., Sanz, P., Navarro, I., &amp; Martínez, M. Á. (2016). </w:t>
      </w:r>
      <w:r w:rsidRPr="007D239D">
        <w:rPr>
          <w:rFonts w:ascii="Arial" w:eastAsia="Times New Roman" w:hAnsi="Arial" w:cs="Arial"/>
          <w:color w:val="000000"/>
          <w:sz w:val="20"/>
          <w:szCs w:val="20"/>
          <w:lang w:val="en-US"/>
        </w:rPr>
        <w:t xml:space="preserve">Time trends of persistent organic pollutants in Spanish air. </w:t>
      </w:r>
      <w:proofErr w:type="spellStart"/>
      <w:r w:rsidRPr="007D239D">
        <w:rPr>
          <w:rFonts w:ascii="Arial" w:eastAsia="Times New Roman" w:hAnsi="Arial" w:cs="Arial"/>
          <w:color w:val="000000"/>
          <w:sz w:val="20"/>
          <w:szCs w:val="20"/>
        </w:rPr>
        <w:t>Environmental</w:t>
      </w:r>
      <w:proofErr w:type="spellEnd"/>
      <w:r w:rsidRPr="007D239D">
        <w:rPr>
          <w:rFonts w:ascii="Arial" w:eastAsia="Times New Roman" w:hAnsi="Arial" w:cs="Arial"/>
          <w:color w:val="000000"/>
          <w:sz w:val="20"/>
          <w:szCs w:val="20"/>
        </w:rPr>
        <w:t xml:space="preserve"> </w:t>
      </w:r>
      <w:proofErr w:type="spellStart"/>
      <w:r w:rsidRPr="007D239D">
        <w:rPr>
          <w:rFonts w:ascii="Arial" w:eastAsia="Times New Roman" w:hAnsi="Arial" w:cs="Arial"/>
          <w:color w:val="000000"/>
          <w:sz w:val="20"/>
          <w:szCs w:val="20"/>
        </w:rPr>
        <w:t>Pollution</w:t>
      </w:r>
      <w:proofErr w:type="spellEnd"/>
      <w:r w:rsidRPr="007D239D">
        <w:rPr>
          <w:rFonts w:ascii="Arial" w:eastAsia="Times New Roman" w:hAnsi="Arial" w:cs="Arial"/>
          <w:color w:val="000000"/>
          <w:sz w:val="20"/>
          <w:szCs w:val="20"/>
        </w:rPr>
        <w:t xml:space="preserve">, 217, 26–32. </w:t>
      </w:r>
      <w:hyperlink r:id="rId80" w:history="1">
        <w:r w:rsidRPr="007D239D">
          <w:rPr>
            <w:rStyle w:val="Hipervnculo"/>
            <w:rFonts w:ascii="Arial" w:eastAsia="Times New Roman" w:hAnsi="Arial" w:cs="Arial"/>
            <w:sz w:val="20"/>
            <w:szCs w:val="20"/>
          </w:rPr>
          <w:t>https://doi.org/10.1016/j.envpol.2016.01.040</w:t>
        </w:r>
      </w:hyperlink>
    </w:p>
    <w:p w14:paraId="57F10062" w14:textId="7E8120A1" w:rsidR="00296A7B" w:rsidRPr="007D239D" w:rsidRDefault="00296A7B" w:rsidP="00296A7B">
      <w:pPr>
        <w:autoSpaceDE w:val="0"/>
        <w:autoSpaceDN w:val="0"/>
        <w:spacing w:after="0" w:line="240" w:lineRule="auto"/>
        <w:ind w:left="567" w:hanging="567"/>
        <w:rPr>
          <w:rFonts w:ascii="Arial" w:eastAsia="Times New Roman" w:hAnsi="Arial" w:cs="Arial"/>
          <w:color w:val="000000"/>
          <w:sz w:val="20"/>
          <w:szCs w:val="20"/>
          <w:lang w:val="en-US"/>
        </w:rPr>
      </w:pPr>
      <w:r w:rsidRPr="007D239D">
        <w:rPr>
          <w:rFonts w:ascii="Arial" w:eastAsia="Times New Roman" w:hAnsi="Arial" w:cs="Arial"/>
          <w:color w:val="000000"/>
          <w:sz w:val="20"/>
          <w:szCs w:val="20"/>
        </w:rPr>
        <w:t xml:space="preserve">Muñoz-Arnanz, J., Roscales, J. L., Ros, M., Vicente, A., &amp; Jiménez, B. (2016). </w:t>
      </w:r>
      <w:r w:rsidRPr="007D239D">
        <w:rPr>
          <w:rFonts w:ascii="Arial" w:eastAsia="Times New Roman" w:hAnsi="Arial" w:cs="Arial"/>
          <w:color w:val="000000"/>
          <w:sz w:val="20"/>
          <w:szCs w:val="20"/>
          <w:lang w:val="en-US"/>
        </w:rPr>
        <w:t xml:space="preserve">Towards the implementation of the Stockholm Convention in Spain: Five-year monitoring (2008–2013) of POPs in air based on passive sampling. Environmental Pollution, 1–7. </w:t>
      </w:r>
      <w:hyperlink r:id="rId81" w:history="1">
        <w:r w:rsidRPr="007D239D">
          <w:rPr>
            <w:rStyle w:val="Hipervnculo"/>
            <w:rFonts w:ascii="Arial" w:eastAsia="Times New Roman" w:hAnsi="Arial" w:cs="Arial"/>
            <w:sz w:val="20"/>
            <w:szCs w:val="20"/>
            <w:lang w:val="en-US"/>
          </w:rPr>
          <w:t>https://doi.org/10.1016/j.envpol.2016.01.052</w:t>
        </w:r>
      </w:hyperlink>
    </w:p>
    <w:p w14:paraId="53A88B17" w14:textId="77777777" w:rsidR="00296A7B" w:rsidRPr="007D239D" w:rsidRDefault="00296A7B" w:rsidP="00296A7B">
      <w:pPr>
        <w:autoSpaceDE w:val="0"/>
        <w:autoSpaceDN w:val="0"/>
        <w:spacing w:after="0" w:line="240" w:lineRule="auto"/>
        <w:ind w:left="567" w:hanging="567"/>
        <w:rPr>
          <w:rFonts w:ascii="Arial" w:eastAsia="Times New Roman" w:hAnsi="Arial" w:cs="Arial"/>
          <w:color w:val="000000"/>
          <w:sz w:val="20"/>
          <w:szCs w:val="20"/>
          <w:lang w:val="en-US"/>
        </w:rPr>
      </w:pPr>
      <w:r w:rsidRPr="007D239D">
        <w:rPr>
          <w:rFonts w:ascii="Arial" w:eastAsia="Times New Roman" w:hAnsi="Arial" w:cs="Arial"/>
          <w:color w:val="000000"/>
          <w:sz w:val="20"/>
          <w:szCs w:val="20"/>
          <w:lang w:val="en-US"/>
        </w:rPr>
        <w:t>OSPAR. (2023). CEMP Assessment Manual: Coordinated Environmental Monitoring Programme. OSPAR Commission, London. Available at: www.ospar.org.</w:t>
      </w:r>
    </w:p>
    <w:p w14:paraId="69E9EE8F" w14:textId="468D771B" w:rsidR="00296A7B" w:rsidRPr="007D239D" w:rsidRDefault="00296A7B" w:rsidP="00296A7B">
      <w:pPr>
        <w:autoSpaceDE w:val="0"/>
        <w:autoSpaceDN w:val="0"/>
        <w:spacing w:after="0" w:line="240" w:lineRule="auto"/>
        <w:ind w:left="567" w:hanging="567"/>
        <w:rPr>
          <w:rFonts w:ascii="Arial" w:eastAsia="Times New Roman" w:hAnsi="Arial" w:cs="Arial"/>
          <w:color w:val="000000"/>
          <w:sz w:val="20"/>
          <w:szCs w:val="20"/>
          <w:lang w:val="en-US"/>
        </w:rPr>
      </w:pPr>
      <w:r w:rsidRPr="001D4722">
        <w:rPr>
          <w:rFonts w:ascii="Arial" w:eastAsia="Times New Roman" w:hAnsi="Arial" w:cs="Arial"/>
          <w:color w:val="000000"/>
          <w:sz w:val="20"/>
          <w:szCs w:val="20"/>
          <w:lang w:val="en-US"/>
        </w:rPr>
        <w:t xml:space="preserve">Roscales, J. L., Muñoz-Arnanz, J., Ros, M., Vicente, A., Barrios, L., &amp; Jiménez, B. (2018). </w:t>
      </w:r>
      <w:r w:rsidRPr="007D239D">
        <w:rPr>
          <w:rFonts w:ascii="Arial" w:eastAsia="Times New Roman" w:hAnsi="Arial" w:cs="Arial"/>
          <w:color w:val="000000"/>
          <w:sz w:val="20"/>
          <w:szCs w:val="20"/>
          <w:lang w:val="en-US"/>
        </w:rPr>
        <w:t xml:space="preserve">Assessment of POPs in air from Spain using passive sampling from 2008 to 2015. Part I: Spatial and temporal observations of PBDEs. Science of the Total Environment, 634, 1657–1668. </w:t>
      </w:r>
      <w:hyperlink r:id="rId82" w:history="1">
        <w:r w:rsidRPr="007D239D">
          <w:rPr>
            <w:rStyle w:val="Hipervnculo"/>
            <w:rFonts w:ascii="Arial" w:eastAsia="Times New Roman" w:hAnsi="Arial" w:cs="Arial"/>
            <w:sz w:val="20"/>
            <w:szCs w:val="20"/>
            <w:lang w:val="en-US"/>
          </w:rPr>
          <w:t>https://doi.org/10.1016/j.scitotenv.2018.03.043</w:t>
        </w:r>
      </w:hyperlink>
    </w:p>
    <w:p w14:paraId="00D01E02" w14:textId="120B1408" w:rsidR="009B66C3" w:rsidRPr="007D239D" w:rsidRDefault="00296A7B" w:rsidP="00296A7B">
      <w:pPr>
        <w:autoSpaceDE w:val="0"/>
        <w:autoSpaceDN w:val="0"/>
        <w:spacing w:after="0" w:line="240" w:lineRule="auto"/>
        <w:ind w:left="567" w:hanging="567"/>
        <w:rPr>
          <w:rFonts w:ascii="Arial" w:eastAsia="Times New Roman" w:hAnsi="Arial" w:cs="Arial"/>
          <w:color w:val="000000"/>
          <w:sz w:val="20"/>
          <w:szCs w:val="20"/>
          <w:lang w:val="en-US"/>
        </w:rPr>
      </w:pPr>
      <w:r w:rsidRPr="007D239D">
        <w:rPr>
          <w:rFonts w:ascii="Arial" w:eastAsia="Times New Roman" w:hAnsi="Arial" w:cs="Arial"/>
          <w:color w:val="000000"/>
          <w:sz w:val="20"/>
          <w:szCs w:val="20"/>
          <w:lang w:val="en-US"/>
        </w:rPr>
        <w:t>UNEP. (2025). Guidance on the Global Monitoring Plan for Persistent Organic Pollutants. UINEP/POPS/COP.12/INF/43. Geneva, 28 April - 9 May 2025.</w:t>
      </w:r>
    </w:p>
    <w:sectPr w:rsidR="009B66C3" w:rsidRPr="007D239D" w:rsidSect="0057197B">
      <w:pgSz w:w="11906" w:h="16838"/>
      <w:pgMar w:top="1418"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EE71A" w14:textId="77777777" w:rsidR="001F1FFA" w:rsidRDefault="001F1FFA" w:rsidP="008756B3">
      <w:pPr>
        <w:spacing w:after="0" w:line="240" w:lineRule="auto"/>
      </w:pPr>
      <w:r>
        <w:separator/>
      </w:r>
    </w:p>
  </w:endnote>
  <w:endnote w:type="continuationSeparator" w:id="0">
    <w:p w14:paraId="5A6C112E" w14:textId="77777777" w:rsidR="001F1FFA" w:rsidRDefault="001F1FFA" w:rsidP="00875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449505"/>
      <w:docPartObj>
        <w:docPartGallery w:val="Page Numbers (Bottom of Page)"/>
        <w:docPartUnique/>
      </w:docPartObj>
    </w:sdtPr>
    <w:sdtEndPr/>
    <w:sdtContent>
      <w:p w14:paraId="70B8EB09" w14:textId="6949AD96" w:rsidR="006D2A76" w:rsidRDefault="006D2A76">
        <w:pPr>
          <w:pStyle w:val="Piedepgina"/>
          <w:jc w:val="center"/>
        </w:pPr>
        <w:r>
          <w:fldChar w:fldCharType="begin"/>
        </w:r>
        <w:r>
          <w:instrText>PAGE   \* MERGEFORMAT</w:instrText>
        </w:r>
        <w:r>
          <w:fldChar w:fldCharType="separate"/>
        </w:r>
        <w:r>
          <w:t>2</w:t>
        </w:r>
        <w:r>
          <w:fldChar w:fldCharType="end"/>
        </w:r>
      </w:p>
    </w:sdtContent>
  </w:sdt>
  <w:p w14:paraId="1FFCCD7A" w14:textId="77777777" w:rsidR="006D2A76" w:rsidRDefault="006D2A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CE95C" w14:textId="77777777" w:rsidR="001F1FFA" w:rsidRDefault="001F1FFA" w:rsidP="008756B3">
      <w:pPr>
        <w:spacing w:after="0" w:line="240" w:lineRule="auto"/>
      </w:pPr>
      <w:r>
        <w:separator/>
      </w:r>
    </w:p>
  </w:footnote>
  <w:footnote w:type="continuationSeparator" w:id="0">
    <w:p w14:paraId="1D16FEE6" w14:textId="77777777" w:rsidR="001F1FFA" w:rsidRDefault="001F1FFA" w:rsidP="008756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D4065"/>
    <w:multiLevelType w:val="multilevel"/>
    <w:tmpl w:val="2D30E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96E77"/>
    <w:multiLevelType w:val="hybridMultilevel"/>
    <w:tmpl w:val="57722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E8264E"/>
    <w:multiLevelType w:val="hybridMultilevel"/>
    <w:tmpl w:val="7136BBF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55681"/>
    <w:multiLevelType w:val="hybridMultilevel"/>
    <w:tmpl w:val="87EAB354"/>
    <w:lvl w:ilvl="0" w:tplc="2DC0A55C">
      <w:start w:val="1"/>
      <w:numFmt w:val="decimal"/>
      <w:pStyle w:val="Ttulo1"/>
      <w:lvlText w:val="%1."/>
      <w:lvlJc w:val="left"/>
      <w:pPr>
        <w:ind w:left="502"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A2A32"/>
    <w:multiLevelType w:val="multilevel"/>
    <w:tmpl w:val="D55A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9203E7"/>
    <w:multiLevelType w:val="multilevel"/>
    <w:tmpl w:val="D5444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894ED2"/>
    <w:multiLevelType w:val="hybridMultilevel"/>
    <w:tmpl w:val="4A80A952"/>
    <w:lvl w:ilvl="0" w:tplc="CFD6C4F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D5DA3"/>
    <w:multiLevelType w:val="hybridMultilevel"/>
    <w:tmpl w:val="4E940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0623B8"/>
    <w:multiLevelType w:val="hybridMultilevel"/>
    <w:tmpl w:val="0E08C3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8BC4C51"/>
    <w:multiLevelType w:val="hybridMultilevel"/>
    <w:tmpl w:val="0F024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482128"/>
    <w:multiLevelType w:val="hybridMultilevel"/>
    <w:tmpl w:val="C4AEE7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5"/>
  </w:num>
  <w:num w:numId="5">
    <w:abstractNumId w:val="8"/>
  </w:num>
  <w:num w:numId="6">
    <w:abstractNumId w:val="10"/>
  </w:num>
  <w:num w:numId="7">
    <w:abstractNumId w:val="6"/>
  </w:num>
  <w:num w:numId="8">
    <w:abstractNumId w:val="4"/>
  </w:num>
  <w:num w:numId="9">
    <w:abstractNumId w:val="0"/>
  </w:num>
  <w:num w:numId="10">
    <w:abstractNumId w:val="9"/>
  </w:num>
  <w:num w:numId="11">
    <w:abstractNumId w:val="3"/>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en-AE" w:vendorID="64" w:dllVersion="4096" w:nlCheck="1" w:checkStyle="0"/>
  <w:activeWritingStyle w:appName="MSWord" w:lang="en-US" w:vendorID="64" w:dllVersion="0" w:nlCheck="1" w:checkStyle="0"/>
  <w:activeWritingStyle w:appName="MSWord" w:lang="es-E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47A"/>
    <w:rsid w:val="0000101B"/>
    <w:rsid w:val="0001109E"/>
    <w:rsid w:val="00026567"/>
    <w:rsid w:val="00032B71"/>
    <w:rsid w:val="000415A0"/>
    <w:rsid w:val="000528CB"/>
    <w:rsid w:val="00062AA2"/>
    <w:rsid w:val="0006416B"/>
    <w:rsid w:val="00064418"/>
    <w:rsid w:val="00072349"/>
    <w:rsid w:val="00076680"/>
    <w:rsid w:val="000A2EE7"/>
    <w:rsid w:val="000B11A0"/>
    <w:rsid w:val="000B740C"/>
    <w:rsid w:val="000B7F5F"/>
    <w:rsid w:val="000C12FC"/>
    <w:rsid w:val="000D5A15"/>
    <w:rsid w:val="000E3D48"/>
    <w:rsid w:val="000E4363"/>
    <w:rsid w:val="000F773B"/>
    <w:rsid w:val="00100028"/>
    <w:rsid w:val="00101036"/>
    <w:rsid w:val="0010566B"/>
    <w:rsid w:val="001070CB"/>
    <w:rsid w:val="00115174"/>
    <w:rsid w:val="00141991"/>
    <w:rsid w:val="001437BE"/>
    <w:rsid w:val="001440E5"/>
    <w:rsid w:val="001514A9"/>
    <w:rsid w:val="001545DC"/>
    <w:rsid w:val="00164BFE"/>
    <w:rsid w:val="0017120D"/>
    <w:rsid w:val="00172259"/>
    <w:rsid w:val="00180F21"/>
    <w:rsid w:val="00193227"/>
    <w:rsid w:val="001944B9"/>
    <w:rsid w:val="001950EC"/>
    <w:rsid w:val="001A0BF5"/>
    <w:rsid w:val="001A7747"/>
    <w:rsid w:val="001A7C73"/>
    <w:rsid w:val="001B18D2"/>
    <w:rsid w:val="001B1968"/>
    <w:rsid w:val="001D2605"/>
    <w:rsid w:val="001D4722"/>
    <w:rsid w:val="001E260E"/>
    <w:rsid w:val="001E3C36"/>
    <w:rsid w:val="001F1FFA"/>
    <w:rsid w:val="001F4885"/>
    <w:rsid w:val="00201909"/>
    <w:rsid w:val="002119D4"/>
    <w:rsid w:val="00221E8A"/>
    <w:rsid w:val="00223CD7"/>
    <w:rsid w:val="002304B0"/>
    <w:rsid w:val="002352F5"/>
    <w:rsid w:val="00245ACB"/>
    <w:rsid w:val="00253A75"/>
    <w:rsid w:val="00260C77"/>
    <w:rsid w:val="00261057"/>
    <w:rsid w:val="00263A3A"/>
    <w:rsid w:val="00296A7B"/>
    <w:rsid w:val="002A070F"/>
    <w:rsid w:val="002B1CEE"/>
    <w:rsid w:val="002C1EBE"/>
    <w:rsid w:val="002C6702"/>
    <w:rsid w:val="002D03A8"/>
    <w:rsid w:val="002D2225"/>
    <w:rsid w:val="002D29F5"/>
    <w:rsid w:val="002D3E2A"/>
    <w:rsid w:val="002D41E0"/>
    <w:rsid w:val="002E03EA"/>
    <w:rsid w:val="002E5496"/>
    <w:rsid w:val="002F392C"/>
    <w:rsid w:val="002F7A6B"/>
    <w:rsid w:val="00302EC6"/>
    <w:rsid w:val="00322F29"/>
    <w:rsid w:val="00355535"/>
    <w:rsid w:val="00384EF4"/>
    <w:rsid w:val="00385326"/>
    <w:rsid w:val="003900D0"/>
    <w:rsid w:val="0039362D"/>
    <w:rsid w:val="003E5611"/>
    <w:rsid w:val="003E7133"/>
    <w:rsid w:val="00402AB3"/>
    <w:rsid w:val="00422285"/>
    <w:rsid w:val="00425A25"/>
    <w:rsid w:val="00441505"/>
    <w:rsid w:val="004432C5"/>
    <w:rsid w:val="00446172"/>
    <w:rsid w:val="00452171"/>
    <w:rsid w:val="00462A49"/>
    <w:rsid w:val="00463871"/>
    <w:rsid w:val="004709AC"/>
    <w:rsid w:val="00473F21"/>
    <w:rsid w:val="00480E6A"/>
    <w:rsid w:val="004818A0"/>
    <w:rsid w:val="00481FD7"/>
    <w:rsid w:val="00486930"/>
    <w:rsid w:val="0049439D"/>
    <w:rsid w:val="004950E1"/>
    <w:rsid w:val="00497CC8"/>
    <w:rsid w:val="004A0C35"/>
    <w:rsid w:val="004A129C"/>
    <w:rsid w:val="004A715F"/>
    <w:rsid w:val="004C2456"/>
    <w:rsid w:val="004E047E"/>
    <w:rsid w:val="004E19A0"/>
    <w:rsid w:val="004E38AA"/>
    <w:rsid w:val="004E44F6"/>
    <w:rsid w:val="00506134"/>
    <w:rsid w:val="00524ACA"/>
    <w:rsid w:val="0052712F"/>
    <w:rsid w:val="005343EC"/>
    <w:rsid w:val="00534968"/>
    <w:rsid w:val="00543A73"/>
    <w:rsid w:val="00554C72"/>
    <w:rsid w:val="005568C8"/>
    <w:rsid w:val="00561DAD"/>
    <w:rsid w:val="00562EA2"/>
    <w:rsid w:val="0057197B"/>
    <w:rsid w:val="00590CAC"/>
    <w:rsid w:val="005A769A"/>
    <w:rsid w:val="005B021C"/>
    <w:rsid w:val="005B7756"/>
    <w:rsid w:val="005C5AA7"/>
    <w:rsid w:val="005D1858"/>
    <w:rsid w:val="005D31AD"/>
    <w:rsid w:val="005D5383"/>
    <w:rsid w:val="005D583A"/>
    <w:rsid w:val="005D6563"/>
    <w:rsid w:val="005E04E9"/>
    <w:rsid w:val="00603727"/>
    <w:rsid w:val="00604BA4"/>
    <w:rsid w:val="006150C1"/>
    <w:rsid w:val="00616772"/>
    <w:rsid w:val="006405D0"/>
    <w:rsid w:val="00641D31"/>
    <w:rsid w:val="00651876"/>
    <w:rsid w:val="00662358"/>
    <w:rsid w:val="0067042E"/>
    <w:rsid w:val="00674D30"/>
    <w:rsid w:val="00692FAC"/>
    <w:rsid w:val="00695023"/>
    <w:rsid w:val="006B1D72"/>
    <w:rsid w:val="006C3488"/>
    <w:rsid w:val="006C3649"/>
    <w:rsid w:val="006C3E93"/>
    <w:rsid w:val="006C46DC"/>
    <w:rsid w:val="006C68A4"/>
    <w:rsid w:val="006C6F50"/>
    <w:rsid w:val="006C7D2C"/>
    <w:rsid w:val="006D2A76"/>
    <w:rsid w:val="006E611D"/>
    <w:rsid w:val="006F0609"/>
    <w:rsid w:val="006F7E05"/>
    <w:rsid w:val="006F7F48"/>
    <w:rsid w:val="00701926"/>
    <w:rsid w:val="007035A9"/>
    <w:rsid w:val="00705A59"/>
    <w:rsid w:val="007070E2"/>
    <w:rsid w:val="00716F3B"/>
    <w:rsid w:val="00731039"/>
    <w:rsid w:val="0074548A"/>
    <w:rsid w:val="00745DD0"/>
    <w:rsid w:val="00750A40"/>
    <w:rsid w:val="00755440"/>
    <w:rsid w:val="00755B9F"/>
    <w:rsid w:val="007663B9"/>
    <w:rsid w:val="00770CBA"/>
    <w:rsid w:val="00774F08"/>
    <w:rsid w:val="00776BC7"/>
    <w:rsid w:val="00784638"/>
    <w:rsid w:val="007846D6"/>
    <w:rsid w:val="007921FB"/>
    <w:rsid w:val="0079589E"/>
    <w:rsid w:val="007A3A89"/>
    <w:rsid w:val="007A7A4B"/>
    <w:rsid w:val="007B06E7"/>
    <w:rsid w:val="007D239D"/>
    <w:rsid w:val="007F06F0"/>
    <w:rsid w:val="00824261"/>
    <w:rsid w:val="00854B54"/>
    <w:rsid w:val="00863044"/>
    <w:rsid w:val="00863835"/>
    <w:rsid w:val="0086430F"/>
    <w:rsid w:val="008756B3"/>
    <w:rsid w:val="00877189"/>
    <w:rsid w:val="00883BA9"/>
    <w:rsid w:val="00890481"/>
    <w:rsid w:val="00896684"/>
    <w:rsid w:val="008A17B6"/>
    <w:rsid w:val="008A34A2"/>
    <w:rsid w:val="008B7356"/>
    <w:rsid w:val="008C4F71"/>
    <w:rsid w:val="008D64E9"/>
    <w:rsid w:val="008E04AF"/>
    <w:rsid w:val="008E0F05"/>
    <w:rsid w:val="008E4D33"/>
    <w:rsid w:val="008E7AE4"/>
    <w:rsid w:val="008F03A3"/>
    <w:rsid w:val="008F5891"/>
    <w:rsid w:val="00900CF8"/>
    <w:rsid w:val="00911046"/>
    <w:rsid w:val="0092390F"/>
    <w:rsid w:val="00936ABB"/>
    <w:rsid w:val="00937325"/>
    <w:rsid w:val="00942CCF"/>
    <w:rsid w:val="00943748"/>
    <w:rsid w:val="0094447F"/>
    <w:rsid w:val="009527CF"/>
    <w:rsid w:val="0097324C"/>
    <w:rsid w:val="00986C79"/>
    <w:rsid w:val="0099191D"/>
    <w:rsid w:val="009961BF"/>
    <w:rsid w:val="009A4AC8"/>
    <w:rsid w:val="009B0E6A"/>
    <w:rsid w:val="009B66C3"/>
    <w:rsid w:val="009B73FE"/>
    <w:rsid w:val="009C2D55"/>
    <w:rsid w:val="009E1FE1"/>
    <w:rsid w:val="009E2FC1"/>
    <w:rsid w:val="009F159E"/>
    <w:rsid w:val="009F15F5"/>
    <w:rsid w:val="009F187D"/>
    <w:rsid w:val="00A002CB"/>
    <w:rsid w:val="00A061E3"/>
    <w:rsid w:val="00A21B7C"/>
    <w:rsid w:val="00A2561E"/>
    <w:rsid w:val="00A2583E"/>
    <w:rsid w:val="00A43455"/>
    <w:rsid w:val="00A47795"/>
    <w:rsid w:val="00A56B70"/>
    <w:rsid w:val="00A63C86"/>
    <w:rsid w:val="00A730F6"/>
    <w:rsid w:val="00A8458A"/>
    <w:rsid w:val="00AC11BB"/>
    <w:rsid w:val="00AC3E3E"/>
    <w:rsid w:val="00AC747A"/>
    <w:rsid w:val="00AD33B7"/>
    <w:rsid w:val="00AF3FC1"/>
    <w:rsid w:val="00B10BBD"/>
    <w:rsid w:val="00B1749C"/>
    <w:rsid w:val="00B25193"/>
    <w:rsid w:val="00B459C3"/>
    <w:rsid w:val="00B64EB1"/>
    <w:rsid w:val="00B83A2C"/>
    <w:rsid w:val="00B83C8B"/>
    <w:rsid w:val="00B83E0C"/>
    <w:rsid w:val="00B874A0"/>
    <w:rsid w:val="00B87BBA"/>
    <w:rsid w:val="00BA62D2"/>
    <w:rsid w:val="00BB0062"/>
    <w:rsid w:val="00BB43BD"/>
    <w:rsid w:val="00BC1F6E"/>
    <w:rsid w:val="00BC232D"/>
    <w:rsid w:val="00BE0AA4"/>
    <w:rsid w:val="00BE448C"/>
    <w:rsid w:val="00BE5AB7"/>
    <w:rsid w:val="00BF560C"/>
    <w:rsid w:val="00C11022"/>
    <w:rsid w:val="00C11732"/>
    <w:rsid w:val="00C239EA"/>
    <w:rsid w:val="00C316BA"/>
    <w:rsid w:val="00C41310"/>
    <w:rsid w:val="00C50F49"/>
    <w:rsid w:val="00C60086"/>
    <w:rsid w:val="00C67026"/>
    <w:rsid w:val="00C70894"/>
    <w:rsid w:val="00C70ADE"/>
    <w:rsid w:val="00C70B30"/>
    <w:rsid w:val="00C84D0E"/>
    <w:rsid w:val="00C92ACF"/>
    <w:rsid w:val="00C95529"/>
    <w:rsid w:val="00CA4EF2"/>
    <w:rsid w:val="00CB53A7"/>
    <w:rsid w:val="00CC21D5"/>
    <w:rsid w:val="00CC4B05"/>
    <w:rsid w:val="00CD43DE"/>
    <w:rsid w:val="00CF2720"/>
    <w:rsid w:val="00CF381E"/>
    <w:rsid w:val="00D05366"/>
    <w:rsid w:val="00D20AAA"/>
    <w:rsid w:val="00D25382"/>
    <w:rsid w:val="00D272E7"/>
    <w:rsid w:val="00D2748D"/>
    <w:rsid w:val="00D30BC5"/>
    <w:rsid w:val="00D33197"/>
    <w:rsid w:val="00D453B9"/>
    <w:rsid w:val="00D609C7"/>
    <w:rsid w:val="00D664F3"/>
    <w:rsid w:val="00D76DD1"/>
    <w:rsid w:val="00DB0F23"/>
    <w:rsid w:val="00DC091F"/>
    <w:rsid w:val="00DC21C6"/>
    <w:rsid w:val="00DC3ABC"/>
    <w:rsid w:val="00DC4D53"/>
    <w:rsid w:val="00DD1B31"/>
    <w:rsid w:val="00DE05F6"/>
    <w:rsid w:val="00DF65A7"/>
    <w:rsid w:val="00E3435B"/>
    <w:rsid w:val="00E35C66"/>
    <w:rsid w:val="00E528A4"/>
    <w:rsid w:val="00E61258"/>
    <w:rsid w:val="00E75C73"/>
    <w:rsid w:val="00E76162"/>
    <w:rsid w:val="00E871C8"/>
    <w:rsid w:val="00E9048F"/>
    <w:rsid w:val="00EA4048"/>
    <w:rsid w:val="00EB480B"/>
    <w:rsid w:val="00EC2793"/>
    <w:rsid w:val="00EC709C"/>
    <w:rsid w:val="00ED1345"/>
    <w:rsid w:val="00EE07BF"/>
    <w:rsid w:val="00EE2DC2"/>
    <w:rsid w:val="00EE421F"/>
    <w:rsid w:val="00EE52BB"/>
    <w:rsid w:val="00EF138E"/>
    <w:rsid w:val="00EF4CA9"/>
    <w:rsid w:val="00F128B8"/>
    <w:rsid w:val="00F210FA"/>
    <w:rsid w:val="00F2339B"/>
    <w:rsid w:val="00F32DB9"/>
    <w:rsid w:val="00F41505"/>
    <w:rsid w:val="00F51162"/>
    <w:rsid w:val="00F65AAF"/>
    <w:rsid w:val="00F90B77"/>
    <w:rsid w:val="00F96FE7"/>
    <w:rsid w:val="00FA5353"/>
    <w:rsid w:val="00FA53EC"/>
    <w:rsid w:val="00FD7F0F"/>
    <w:rsid w:val="00FE0926"/>
    <w:rsid w:val="00FF371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D1593"/>
  <w15:chartTrackingRefBased/>
  <w15:docId w15:val="{576353F9-D15A-4DF5-B3A2-7B95B6BB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90481"/>
    <w:pPr>
      <w:keepNext/>
      <w:keepLines/>
      <w:numPr>
        <w:numId w:val="11"/>
      </w:numPr>
      <w:spacing w:before="240" w:after="0"/>
      <w:outlineLvl w:val="0"/>
    </w:pPr>
    <w:rPr>
      <w:rFonts w:ascii="Arial" w:eastAsiaTheme="majorEastAsia" w:hAnsi="Arial" w:cstheme="majorBidi"/>
      <w:b/>
      <w:color w:val="2F5496" w:themeColor="accent1" w:themeShade="BF"/>
      <w:sz w:val="32"/>
      <w:szCs w:val="32"/>
    </w:rPr>
  </w:style>
  <w:style w:type="paragraph" w:styleId="Ttulo2">
    <w:name w:val="heading 2"/>
    <w:basedOn w:val="Normal"/>
    <w:next w:val="Normal"/>
    <w:link w:val="Ttulo2Car"/>
    <w:uiPriority w:val="9"/>
    <w:unhideWhenUsed/>
    <w:qFormat/>
    <w:rsid w:val="00900C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5568C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ath-inline">
    <w:name w:val="math-inline"/>
    <w:basedOn w:val="Fuentedeprrafopredeter"/>
    <w:rsid w:val="00B1749C"/>
  </w:style>
  <w:style w:type="character" w:customStyle="1" w:styleId="Ttulo3Car">
    <w:name w:val="Título 3 Car"/>
    <w:basedOn w:val="Fuentedeprrafopredeter"/>
    <w:link w:val="Ttulo3"/>
    <w:uiPriority w:val="9"/>
    <w:rsid w:val="005568C8"/>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5568C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digoHTML">
    <w:name w:val="HTML Code"/>
    <w:basedOn w:val="Fuentedeprrafopredeter"/>
    <w:uiPriority w:val="99"/>
    <w:semiHidden/>
    <w:unhideWhenUsed/>
    <w:rsid w:val="005568C8"/>
    <w:rPr>
      <w:rFonts w:ascii="Courier New" w:eastAsia="Times New Roman" w:hAnsi="Courier New" w:cs="Courier New"/>
      <w:sz w:val="20"/>
      <w:szCs w:val="20"/>
    </w:rPr>
  </w:style>
  <w:style w:type="character" w:customStyle="1" w:styleId="Ttulo1Car">
    <w:name w:val="Título 1 Car"/>
    <w:basedOn w:val="Fuentedeprrafopredeter"/>
    <w:link w:val="Ttulo1"/>
    <w:uiPriority w:val="9"/>
    <w:rsid w:val="00890481"/>
    <w:rPr>
      <w:rFonts w:ascii="Arial" w:eastAsiaTheme="majorEastAsia" w:hAnsi="Arial" w:cstheme="majorBidi"/>
      <w:b/>
      <w:color w:val="2F5496" w:themeColor="accent1" w:themeShade="BF"/>
      <w:sz w:val="32"/>
      <w:szCs w:val="32"/>
    </w:rPr>
  </w:style>
  <w:style w:type="paragraph" w:styleId="TtuloTDC">
    <w:name w:val="TOC Heading"/>
    <w:basedOn w:val="Ttulo1"/>
    <w:next w:val="Normal"/>
    <w:uiPriority w:val="39"/>
    <w:unhideWhenUsed/>
    <w:qFormat/>
    <w:rsid w:val="00701926"/>
    <w:pPr>
      <w:outlineLvl w:val="9"/>
    </w:pPr>
    <w:rPr>
      <w:lang w:val="en-US"/>
    </w:rPr>
  </w:style>
  <w:style w:type="paragraph" w:styleId="TDC1">
    <w:name w:val="toc 1"/>
    <w:basedOn w:val="Normal"/>
    <w:next w:val="Normal"/>
    <w:autoRedefine/>
    <w:uiPriority w:val="39"/>
    <w:unhideWhenUsed/>
    <w:rsid w:val="00701926"/>
    <w:pPr>
      <w:spacing w:after="100"/>
    </w:pPr>
  </w:style>
  <w:style w:type="character" w:styleId="Hipervnculo">
    <w:name w:val="Hyperlink"/>
    <w:basedOn w:val="Fuentedeprrafopredeter"/>
    <w:uiPriority w:val="99"/>
    <w:unhideWhenUsed/>
    <w:rsid w:val="00701926"/>
    <w:rPr>
      <w:color w:val="0563C1" w:themeColor="hyperlink"/>
      <w:u w:val="single"/>
    </w:rPr>
  </w:style>
  <w:style w:type="character" w:customStyle="1" w:styleId="Ttulo2Car">
    <w:name w:val="Título 2 Car"/>
    <w:basedOn w:val="Fuentedeprrafopredeter"/>
    <w:link w:val="Ttulo2"/>
    <w:uiPriority w:val="9"/>
    <w:rsid w:val="00900CF8"/>
    <w:rPr>
      <w:rFonts w:asciiTheme="majorHAnsi" w:eastAsiaTheme="majorEastAsia" w:hAnsiTheme="majorHAnsi" w:cstheme="majorBidi"/>
      <w:color w:val="2F5496" w:themeColor="accent1" w:themeShade="BF"/>
      <w:sz w:val="26"/>
      <w:szCs w:val="26"/>
    </w:rPr>
  </w:style>
  <w:style w:type="paragraph" w:styleId="Prrafodelista">
    <w:name w:val="List Paragraph"/>
    <w:basedOn w:val="Normal"/>
    <w:uiPriority w:val="34"/>
    <w:qFormat/>
    <w:rsid w:val="004432C5"/>
    <w:pPr>
      <w:ind w:left="720"/>
      <w:contextualSpacing/>
    </w:pPr>
  </w:style>
  <w:style w:type="paragraph" w:styleId="Encabezado">
    <w:name w:val="header"/>
    <w:basedOn w:val="Normal"/>
    <w:link w:val="EncabezadoCar"/>
    <w:uiPriority w:val="99"/>
    <w:unhideWhenUsed/>
    <w:rsid w:val="008756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756B3"/>
  </w:style>
  <w:style w:type="paragraph" w:styleId="Piedepgina">
    <w:name w:val="footer"/>
    <w:basedOn w:val="Normal"/>
    <w:link w:val="PiedepginaCar"/>
    <w:uiPriority w:val="99"/>
    <w:unhideWhenUsed/>
    <w:rsid w:val="008756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756B3"/>
  </w:style>
  <w:style w:type="paragraph" w:styleId="TDC2">
    <w:name w:val="toc 2"/>
    <w:basedOn w:val="Normal"/>
    <w:next w:val="Normal"/>
    <w:autoRedefine/>
    <w:uiPriority w:val="39"/>
    <w:unhideWhenUsed/>
    <w:rsid w:val="00943748"/>
    <w:pPr>
      <w:spacing w:after="100"/>
      <w:ind w:left="220"/>
    </w:pPr>
  </w:style>
  <w:style w:type="paragraph" w:styleId="Textonotaalfinal">
    <w:name w:val="endnote text"/>
    <w:basedOn w:val="Normal"/>
    <w:link w:val="TextonotaalfinalCar"/>
    <w:uiPriority w:val="99"/>
    <w:semiHidden/>
    <w:unhideWhenUsed/>
    <w:rsid w:val="002C1EB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C1EBE"/>
    <w:rPr>
      <w:sz w:val="20"/>
      <w:szCs w:val="20"/>
    </w:rPr>
  </w:style>
  <w:style w:type="character" w:styleId="Refdenotaalfinal">
    <w:name w:val="endnote reference"/>
    <w:basedOn w:val="Fuentedeprrafopredeter"/>
    <w:uiPriority w:val="99"/>
    <w:semiHidden/>
    <w:unhideWhenUsed/>
    <w:rsid w:val="002C1EBE"/>
    <w:rPr>
      <w:vertAlign w:val="superscript"/>
    </w:rPr>
  </w:style>
  <w:style w:type="character" w:customStyle="1" w:styleId="Mencinsinresolver1">
    <w:name w:val="Mención sin resolver1"/>
    <w:basedOn w:val="Fuentedeprrafopredeter"/>
    <w:uiPriority w:val="99"/>
    <w:semiHidden/>
    <w:unhideWhenUsed/>
    <w:rsid w:val="00384EF4"/>
    <w:rPr>
      <w:color w:val="605E5C"/>
      <w:shd w:val="clear" w:color="auto" w:fill="E1DFDD"/>
    </w:rPr>
  </w:style>
  <w:style w:type="character" w:styleId="Refdecomentario">
    <w:name w:val="annotation reference"/>
    <w:basedOn w:val="Fuentedeprrafopredeter"/>
    <w:uiPriority w:val="99"/>
    <w:semiHidden/>
    <w:unhideWhenUsed/>
    <w:rsid w:val="0074548A"/>
    <w:rPr>
      <w:sz w:val="16"/>
      <w:szCs w:val="16"/>
    </w:rPr>
  </w:style>
  <w:style w:type="paragraph" w:styleId="Textocomentario">
    <w:name w:val="annotation text"/>
    <w:basedOn w:val="Normal"/>
    <w:link w:val="TextocomentarioCar"/>
    <w:uiPriority w:val="99"/>
    <w:unhideWhenUsed/>
    <w:rsid w:val="0074548A"/>
    <w:pPr>
      <w:spacing w:line="240" w:lineRule="auto"/>
    </w:pPr>
    <w:rPr>
      <w:sz w:val="20"/>
      <w:szCs w:val="20"/>
    </w:rPr>
  </w:style>
  <w:style w:type="character" w:customStyle="1" w:styleId="TextocomentarioCar">
    <w:name w:val="Texto comentario Car"/>
    <w:basedOn w:val="Fuentedeprrafopredeter"/>
    <w:link w:val="Textocomentario"/>
    <w:uiPriority w:val="99"/>
    <w:rsid w:val="0074548A"/>
    <w:rPr>
      <w:sz w:val="20"/>
      <w:szCs w:val="20"/>
    </w:rPr>
  </w:style>
  <w:style w:type="paragraph" w:styleId="Asuntodelcomentario">
    <w:name w:val="annotation subject"/>
    <w:basedOn w:val="Textocomentario"/>
    <w:next w:val="Textocomentario"/>
    <w:link w:val="AsuntodelcomentarioCar"/>
    <w:uiPriority w:val="99"/>
    <w:semiHidden/>
    <w:unhideWhenUsed/>
    <w:rsid w:val="0074548A"/>
    <w:rPr>
      <w:b/>
      <w:bCs/>
    </w:rPr>
  </w:style>
  <w:style w:type="character" w:customStyle="1" w:styleId="AsuntodelcomentarioCar">
    <w:name w:val="Asunto del comentario Car"/>
    <w:basedOn w:val="TextocomentarioCar"/>
    <w:link w:val="Asuntodelcomentario"/>
    <w:uiPriority w:val="99"/>
    <w:semiHidden/>
    <w:rsid w:val="0074548A"/>
    <w:rPr>
      <w:b/>
      <w:bCs/>
      <w:sz w:val="20"/>
      <w:szCs w:val="20"/>
    </w:rPr>
  </w:style>
  <w:style w:type="paragraph" w:styleId="Revisin">
    <w:name w:val="Revision"/>
    <w:hidden/>
    <w:uiPriority w:val="99"/>
    <w:semiHidden/>
    <w:rsid w:val="005D6563"/>
    <w:pPr>
      <w:spacing w:after="0" w:line="240" w:lineRule="auto"/>
    </w:pPr>
  </w:style>
  <w:style w:type="character" w:styleId="Textodelmarcadordeposicin">
    <w:name w:val="Placeholder Text"/>
    <w:basedOn w:val="Fuentedeprrafopredeter"/>
    <w:uiPriority w:val="99"/>
    <w:semiHidden/>
    <w:rsid w:val="00942CCF"/>
    <w:rPr>
      <w:color w:val="808080"/>
    </w:rPr>
  </w:style>
  <w:style w:type="paragraph" w:styleId="Textodeglobo">
    <w:name w:val="Balloon Text"/>
    <w:basedOn w:val="Normal"/>
    <w:link w:val="TextodegloboCar"/>
    <w:uiPriority w:val="99"/>
    <w:semiHidden/>
    <w:unhideWhenUsed/>
    <w:rsid w:val="00B874A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74A0"/>
    <w:rPr>
      <w:rFonts w:ascii="Segoe UI" w:hAnsi="Segoe UI" w:cs="Segoe UI"/>
      <w:sz w:val="18"/>
      <w:szCs w:val="18"/>
    </w:rPr>
  </w:style>
  <w:style w:type="character" w:styleId="Mencinsinresolver">
    <w:name w:val="Unresolved Mention"/>
    <w:basedOn w:val="Fuentedeprrafopredeter"/>
    <w:uiPriority w:val="99"/>
    <w:semiHidden/>
    <w:unhideWhenUsed/>
    <w:rsid w:val="00296A7B"/>
    <w:rPr>
      <w:color w:val="605E5C"/>
      <w:shd w:val="clear" w:color="auto" w:fill="E1DFDD"/>
    </w:rPr>
  </w:style>
  <w:style w:type="table" w:styleId="Tablaconcuadrcula">
    <w:name w:val="Table Grid"/>
    <w:basedOn w:val="Tablanormal"/>
    <w:uiPriority w:val="39"/>
    <w:rsid w:val="00DC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clara">
    <w:name w:val="Grid Table Light"/>
    <w:basedOn w:val="Tablanormal"/>
    <w:uiPriority w:val="40"/>
    <w:rsid w:val="00EE2DC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7063">
      <w:bodyDiv w:val="1"/>
      <w:marLeft w:val="0"/>
      <w:marRight w:val="0"/>
      <w:marTop w:val="0"/>
      <w:marBottom w:val="0"/>
      <w:divBdr>
        <w:top w:val="none" w:sz="0" w:space="0" w:color="auto"/>
        <w:left w:val="none" w:sz="0" w:space="0" w:color="auto"/>
        <w:bottom w:val="none" w:sz="0" w:space="0" w:color="auto"/>
        <w:right w:val="none" w:sz="0" w:space="0" w:color="auto"/>
      </w:divBdr>
    </w:div>
    <w:div w:id="39329052">
      <w:bodyDiv w:val="1"/>
      <w:marLeft w:val="0"/>
      <w:marRight w:val="0"/>
      <w:marTop w:val="0"/>
      <w:marBottom w:val="0"/>
      <w:divBdr>
        <w:top w:val="none" w:sz="0" w:space="0" w:color="auto"/>
        <w:left w:val="none" w:sz="0" w:space="0" w:color="auto"/>
        <w:bottom w:val="none" w:sz="0" w:space="0" w:color="auto"/>
        <w:right w:val="none" w:sz="0" w:space="0" w:color="auto"/>
      </w:divBdr>
    </w:div>
    <w:div w:id="82143614">
      <w:bodyDiv w:val="1"/>
      <w:marLeft w:val="0"/>
      <w:marRight w:val="0"/>
      <w:marTop w:val="0"/>
      <w:marBottom w:val="0"/>
      <w:divBdr>
        <w:top w:val="none" w:sz="0" w:space="0" w:color="auto"/>
        <w:left w:val="none" w:sz="0" w:space="0" w:color="auto"/>
        <w:bottom w:val="none" w:sz="0" w:space="0" w:color="auto"/>
        <w:right w:val="none" w:sz="0" w:space="0" w:color="auto"/>
      </w:divBdr>
    </w:div>
    <w:div w:id="180436885">
      <w:bodyDiv w:val="1"/>
      <w:marLeft w:val="0"/>
      <w:marRight w:val="0"/>
      <w:marTop w:val="0"/>
      <w:marBottom w:val="0"/>
      <w:divBdr>
        <w:top w:val="none" w:sz="0" w:space="0" w:color="auto"/>
        <w:left w:val="none" w:sz="0" w:space="0" w:color="auto"/>
        <w:bottom w:val="none" w:sz="0" w:space="0" w:color="auto"/>
        <w:right w:val="none" w:sz="0" w:space="0" w:color="auto"/>
      </w:divBdr>
    </w:div>
    <w:div w:id="202253845">
      <w:bodyDiv w:val="1"/>
      <w:marLeft w:val="0"/>
      <w:marRight w:val="0"/>
      <w:marTop w:val="0"/>
      <w:marBottom w:val="0"/>
      <w:divBdr>
        <w:top w:val="none" w:sz="0" w:space="0" w:color="auto"/>
        <w:left w:val="none" w:sz="0" w:space="0" w:color="auto"/>
        <w:bottom w:val="none" w:sz="0" w:space="0" w:color="auto"/>
        <w:right w:val="none" w:sz="0" w:space="0" w:color="auto"/>
      </w:divBdr>
    </w:div>
    <w:div w:id="279384639">
      <w:bodyDiv w:val="1"/>
      <w:marLeft w:val="0"/>
      <w:marRight w:val="0"/>
      <w:marTop w:val="0"/>
      <w:marBottom w:val="0"/>
      <w:divBdr>
        <w:top w:val="none" w:sz="0" w:space="0" w:color="auto"/>
        <w:left w:val="none" w:sz="0" w:space="0" w:color="auto"/>
        <w:bottom w:val="none" w:sz="0" w:space="0" w:color="auto"/>
        <w:right w:val="none" w:sz="0" w:space="0" w:color="auto"/>
      </w:divBdr>
    </w:div>
    <w:div w:id="305210296">
      <w:bodyDiv w:val="1"/>
      <w:marLeft w:val="0"/>
      <w:marRight w:val="0"/>
      <w:marTop w:val="0"/>
      <w:marBottom w:val="0"/>
      <w:divBdr>
        <w:top w:val="none" w:sz="0" w:space="0" w:color="auto"/>
        <w:left w:val="none" w:sz="0" w:space="0" w:color="auto"/>
        <w:bottom w:val="none" w:sz="0" w:space="0" w:color="auto"/>
        <w:right w:val="none" w:sz="0" w:space="0" w:color="auto"/>
      </w:divBdr>
    </w:div>
    <w:div w:id="473110194">
      <w:bodyDiv w:val="1"/>
      <w:marLeft w:val="0"/>
      <w:marRight w:val="0"/>
      <w:marTop w:val="0"/>
      <w:marBottom w:val="0"/>
      <w:divBdr>
        <w:top w:val="none" w:sz="0" w:space="0" w:color="auto"/>
        <w:left w:val="none" w:sz="0" w:space="0" w:color="auto"/>
        <w:bottom w:val="none" w:sz="0" w:space="0" w:color="auto"/>
        <w:right w:val="none" w:sz="0" w:space="0" w:color="auto"/>
      </w:divBdr>
    </w:div>
    <w:div w:id="551236566">
      <w:bodyDiv w:val="1"/>
      <w:marLeft w:val="0"/>
      <w:marRight w:val="0"/>
      <w:marTop w:val="0"/>
      <w:marBottom w:val="0"/>
      <w:divBdr>
        <w:top w:val="none" w:sz="0" w:space="0" w:color="auto"/>
        <w:left w:val="none" w:sz="0" w:space="0" w:color="auto"/>
        <w:bottom w:val="none" w:sz="0" w:space="0" w:color="auto"/>
        <w:right w:val="none" w:sz="0" w:space="0" w:color="auto"/>
      </w:divBdr>
    </w:div>
    <w:div w:id="574319150">
      <w:bodyDiv w:val="1"/>
      <w:marLeft w:val="0"/>
      <w:marRight w:val="0"/>
      <w:marTop w:val="0"/>
      <w:marBottom w:val="0"/>
      <w:divBdr>
        <w:top w:val="none" w:sz="0" w:space="0" w:color="auto"/>
        <w:left w:val="none" w:sz="0" w:space="0" w:color="auto"/>
        <w:bottom w:val="none" w:sz="0" w:space="0" w:color="auto"/>
        <w:right w:val="none" w:sz="0" w:space="0" w:color="auto"/>
      </w:divBdr>
    </w:div>
    <w:div w:id="782923507">
      <w:bodyDiv w:val="1"/>
      <w:marLeft w:val="0"/>
      <w:marRight w:val="0"/>
      <w:marTop w:val="0"/>
      <w:marBottom w:val="0"/>
      <w:divBdr>
        <w:top w:val="none" w:sz="0" w:space="0" w:color="auto"/>
        <w:left w:val="none" w:sz="0" w:space="0" w:color="auto"/>
        <w:bottom w:val="none" w:sz="0" w:space="0" w:color="auto"/>
        <w:right w:val="none" w:sz="0" w:space="0" w:color="auto"/>
      </w:divBdr>
    </w:div>
    <w:div w:id="856625255">
      <w:bodyDiv w:val="1"/>
      <w:marLeft w:val="0"/>
      <w:marRight w:val="0"/>
      <w:marTop w:val="0"/>
      <w:marBottom w:val="0"/>
      <w:divBdr>
        <w:top w:val="none" w:sz="0" w:space="0" w:color="auto"/>
        <w:left w:val="none" w:sz="0" w:space="0" w:color="auto"/>
        <w:bottom w:val="none" w:sz="0" w:space="0" w:color="auto"/>
        <w:right w:val="none" w:sz="0" w:space="0" w:color="auto"/>
      </w:divBdr>
    </w:div>
    <w:div w:id="963462925">
      <w:bodyDiv w:val="1"/>
      <w:marLeft w:val="0"/>
      <w:marRight w:val="0"/>
      <w:marTop w:val="0"/>
      <w:marBottom w:val="0"/>
      <w:divBdr>
        <w:top w:val="none" w:sz="0" w:space="0" w:color="auto"/>
        <w:left w:val="none" w:sz="0" w:space="0" w:color="auto"/>
        <w:bottom w:val="none" w:sz="0" w:space="0" w:color="auto"/>
        <w:right w:val="none" w:sz="0" w:space="0" w:color="auto"/>
      </w:divBdr>
      <w:divsChild>
        <w:div w:id="187917502">
          <w:marLeft w:val="480"/>
          <w:marRight w:val="0"/>
          <w:marTop w:val="0"/>
          <w:marBottom w:val="0"/>
          <w:divBdr>
            <w:top w:val="none" w:sz="0" w:space="0" w:color="auto"/>
            <w:left w:val="none" w:sz="0" w:space="0" w:color="auto"/>
            <w:bottom w:val="none" w:sz="0" w:space="0" w:color="auto"/>
            <w:right w:val="none" w:sz="0" w:space="0" w:color="auto"/>
          </w:divBdr>
        </w:div>
        <w:div w:id="1936354060">
          <w:marLeft w:val="480"/>
          <w:marRight w:val="0"/>
          <w:marTop w:val="0"/>
          <w:marBottom w:val="0"/>
          <w:divBdr>
            <w:top w:val="none" w:sz="0" w:space="0" w:color="auto"/>
            <w:left w:val="none" w:sz="0" w:space="0" w:color="auto"/>
            <w:bottom w:val="none" w:sz="0" w:space="0" w:color="auto"/>
            <w:right w:val="none" w:sz="0" w:space="0" w:color="auto"/>
          </w:divBdr>
        </w:div>
        <w:div w:id="1385106177">
          <w:marLeft w:val="480"/>
          <w:marRight w:val="0"/>
          <w:marTop w:val="0"/>
          <w:marBottom w:val="0"/>
          <w:divBdr>
            <w:top w:val="none" w:sz="0" w:space="0" w:color="auto"/>
            <w:left w:val="none" w:sz="0" w:space="0" w:color="auto"/>
            <w:bottom w:val="none" w:sz="0" w:space="0" w:color="auto"/>
            <w:right w:val="none" w:sz="0" w:space="0" w:color="auto"/>
          </w:divBdr>
        </w:div>
        <w:div w:id="918556716">
          <w:marLeft w:val="480"/>
          <w:marRight w:val="0"/>
          <w:marTop w:val="0"/>
          <w:marBottom w:val="0"/>
          <w:divBdr>
            <w:top w:val="none" w:sz="0" w:space="0" w:color="auto"/>
            <w:left w:val="none" w:sz="0" w:space="0" w:color="auto"/>
            <w:bottom w:val="none" w:sz="0" w:space="0" w:color="auto"/>
            <w:right w:val="none" w:sz="0" w:space="0" w:color="auto"/>
          </w:divBdr>
        </w:div>
        <w:div w:id="1920826897">
          <w:marLeft w:val="480"/>
          <w:marRight w:val="0"/>
          <w:marTop w:val="0"/>
          <w:marBottom w:val="0"/>
          <w:divBdr>
            <w:top w:val="none" w:sz="0" w:space="0" w:color="auto"/>
            <w:left w:val="none" w:sz="0" w:space="0" w:color="auto"/>
            <w:bottom w:val="none" w:sz="0" w:space="0" w:color="auto"/>
            <w:right w:val="none" w:sz="0" w:space="0" w:color="auto"/>
          </w:divBdr>
        </w:div>
        <w:div w:id="27608584">
          <w:marLeft w:val="480"/>
          <w:marRight w:val="0"/>
          <w:marTop w:val="0"/>
          <w:marBottom w:val="0"/>
          <w:divBdr>
            <w:top w:val="none" w:sz="0" w:space="0" w:color="auto"/>
            <w:left w:val="none" w:sz="0" w:space="0" w:color="auto"/>
            <w:bottom w:val="none" w:sz="0" w:space="0" w:color="auto"/>
            <w:right w:val="none" w:sz="0" w:space="0" w:color="auto"/>
          </w:divBdr>
        </w:div>
      </w:divsChild>
    </w:div>
    <w:div w:id="1219166691">
      <w:bodyDiv w:val="1"/>
      <w:marLeft w:val="0"/>
      <w:marRight w:val="0"/>
      <w:marTop w:val="0"/>
      <w:marBottom w:val="0"/>
      <w:divBdr>
        <w:top w:val="none" w:sz="0" w:space="0" w:color="auto"/>
        <w:left w:val="none" w:sz="0" w:space="0" w:color="auto"/>
        <w:bottom w:val="none" w:sz="0" w:space="0" w:color="auto"/>
        <w:right w:val="none" w:sz="0" w:space="0" w:color="auto"/>
      </w:divBdr>
    </w:div>
    <w:div w:id="1304194441">
      <w:bodyDiv w:val="1"/>
      <w:marLeft w:val="0"/>
      <w:marRight w:val="0"/>
      <w:marTop w:val="0"/>
      <w:marBottom w:val="0"/>
      <w:divBdr>
        <w:top w:val="none" w:sz="0" w:space="0" w:color="auto"/>
        <w:left w:val="none" w:sz="0" w:space="0" w:color="auto"/>
        <w:bottom w:val="none" w:sz="0" w:space="0" w:color="auto"/>
        <w:right w:val="none" w:sz="0" w:space="0" w:color="auto"/>
      </w:divBdr>
    </w:div>
    <w:div w:id="1720013968">
      <w:bodyDiv w:val="1"/>
      <w:marLeft w:val="0"/>
      <w:marRight w:val="0"/>
      <w:marTop w:val="0"/>
      <w:marBottom w:val="0"/>
      <w:divBdr>
        <w:top w:val="none" w:sz="0" w:space="0" w:color="auto"/>
        <w:left w:val="none" w:sz="0" w:space="0" w:color="auto"/>
        <w:bottom w:val="none" w:sz="0" w:space="0" w:color="auto"/>
        <w:right w:val="none" w:sz="0" w:space="0" w:color="auto"/>
      </w:divBdr>
      <w:divsChild>
        <w:div w:id="476185666">
          <w:marLeft w:val="480"/>
          <w:marRight w:val="0"/>
          <w:marTop w:val="0"/>
          <w:marBottom w:val="0"/>
          <w:divBdr>
            <w:top w:val="none" w:sz="0" w:space="0" w:color="auto"/>
            <w:left w:val="none" w:sz="0" w:space="0" w:color="auto"/>
            <w:bottom w:val="none" w:sz="0" w:space="0" w:color="auto"/>
            <w:right w:val="none" w:sz="0" w:space="0" w:color="auto"/>
          </w:divBdr>
        </w:div>
        <w:div w:id="1590650889">
          <w:marLeft w:val="480"/>
          <w:marRight w:val="0"/>
          <w:marTop w:val="0"/>
          <w:marBottom w:val="0"/>
          <w:divBdr>
            <w:top w:val="none" w:sz="0" w:space="0" w:color="auto"/>
            <w:left w:val="none" w:sz="0" w:space="0" w:color="auto"/>
            <w:bottom w:val="none" w:sz="0" w:space="0" w:color="auto"/>
            <w:right w:val="none" w:sz="0" w:space="0" w:color="auto"/>
          </w:divBdr>
        </w:div>
        <w:div w:id="1314143745">
          <w:marLeft w:val="480"/>
          <w:marRight w:val="0"/>
          <w:marTop w:val="0"/>
          <w:marBottom w:val="0"/>
          <w:divBdr>
            <w:top w:val="none" w:sz="0" w:space="0" w:color="auto"/>
            <w:left w:val="none" w:sz="0" w:space="0" w:color="auto"/>
            <w:bottom w:val="none" w:sz="0" w:space="0" w:color="auto"/>
            <w:right w:val="none" w:sz="0" w:space="0" w:color="auto"/>
          </w:divBdr>
        </w:div>
        <w:div w:id="1005209481">
          <w:marLeft w:val="480"/>
          <w:marRight w:val="0"/>
          <w:marTop w:val="0"/>
          <w:marBottom w:val="0"/>
          <w:divBdr>
            <w:top w:val="none" w:sz="0" w:space="0" w:color="auto"/>
            <w:left w:val="none" w:sz="0" w:space="0" w:color="auto"/>
            <w:bottom w:val="none" w:sz="0" w:space="0" w:color="auto"/>
            <w:right w:val="none" w:sz="0" w:space="0" w:color="auto"/>
          </w:divBdr>
        </w:div>
        <w:div w:id="1885560073">
          <w:marLeft w:val="480"/>
          <w:marRight w:val="0"/>
          <w:marTop w:val="0"/>
          <w:marBottom w:val="0"/>
          <w:divBdr>
            <w:top w:val="none" w:sz="0" w:space="0" w:color="auto"/>
            <w:left w:val="none" w:sz="0" w:space="0" w:color="auto"/>
            <w:bottom w:val="none" w:sz="0" w:space="0" w:color="auto"/>
            <w:right w:val="none" w:sz="0" w:space="0" w:color="auto"/>
          </w:divBdr>
        </w:div>
        <w:div w:id="905607733">
          <w:marLeft w:val="480"/>
          <w:marRight w:val="0"/>
          <w:marTop w:val="0"/>
          <w:marBottom w:val="0"/>
          <w:divBdr>
            <w:top w:val="none" w:sz="0" w:space="0" w:color="auto"/>
            <w:left w:val="none" w:sz="0" w:space="0" w:color="auto"/>
            <w:bottom w:val="none" w:sz="0" w:space="0" w:color="auto"/>
            <w:right w:val="none" w:sz="0" w:space="0" w:color="auto"/>
          </w:divBdr>
        </w:div>
      </w:divsChild>
    </w:div>
    <w:div w:id="1730688301">
      <w:bodyDiv w:val="1"/>
      <w:marLeft w:val="0"/>
      <w:marRight w:val="0"/>
      <w:marTop w:val="0"/>
      <w:marBottom w:val="0"/>
      <w:divBdr>
        <w:top w:val="none" w:sz="0" w:space="0" w:color="auto"/>
        <w:left w:val="none" w:sz="0" w:space="0" w:color="auto"/>
        <w:bottom w:val="none" w:sz="0" w:space="0" w:color="auto"/>
        <w:right w:val="none" w:sz="0" w:space="0" w:color="auto"/>
      </w:divBdr>
    </w:div>
    <w:div w:id="1795709173">
      <w:bodyDiv w:val="1"/>
      <w:marLeft w:val="0"/>
      <w:marRight w:val="0"/>
      <w:marTop w:val="0"/>
      <w:marBottom w:val="0"/>
      <w:divBdr>
        <w:top w:val="none" w:sz="0" w:space="0" w:color="auto"/>
        <w:left w:val="none" w:sz="0" w:space="0" w:color="auto"/>
        <w:bottom w:val="none" w:sz="0" w:space="0" w:color="auto"/>
        <w:right w:val="none" w:sz="0" w:space="0" w:color="auto"/>
      </w:divBdr>
    </w:div>
    <w:div w:id="1866358639">
      <w:bodyDiv w:val="1"/>
      <w:marLeft w:val="0"/>
      <w:marRight w:val="0"/>
      <w:marTop w:val="0"/>
      <w:marBottom w:val="0"/>
      <w:divBdr>
        <w:top w:val="none" w:sz="0" w:space="0" w:color="auto"/>
        <w:left w:val="none" w:sz="0" w:space="0" w:color="auto"/>
        <w:bottom w:val="none" w:sz="0" w:space="0" w:color="auto"/>
        <w:right w:val="none" w:sz="0" w:space="0" w:color="auto"/>
      </w:divBdr>
    </w:div>
    <w:div w:id="1875384867">
      <w:bodyDiv w:val="1"/>
      <w:marLeft w:val="0"/>
      <w:marRight w:val="0"/>
      <w:marTop w:val="0"/>
      <w:marBottom w:val="0"/>
      <w:divBdr>
        <w:top w:val="none" w:sz="0" w:space="0" w:color="auto"/>
        <w:left w:val="none" w:sz="0" w:space="0" w:color="auto"/>
        <w:bottom w:val="none" w:sz="0" w:space="0" w:color="auto"/>
        <w:right w:val="none" w:sz="0" w:space="0" w:color="auto"/>
      </w:divBdr>
    </w:div>
    <w:div w:id="1951863073">
      <w:bodyDiv w:val="1"/>
      <w:marLeft w:val="0"/>
      <w:marRight w:val="0"/>
      <w:marTop w:val="0"/>
      <w:marBottom w:val="0"/>
      <w:divBdr>
        <w:top w:val="none" w:sz="0" w:space="0" w:color="auto"/>
        <w:left w:val="none" w:sz="0" w:space="0" w:color="auto"/>
        <w:bottom w:val="none" w:sz="0" w:space="0" w:color="auto"/>
        <w:right w:val="none" w:sz="0" w:space="0" w:color="auto"/>
      </w:divBdr>
    </w:div>
    <w:div w:id="1974627681">
      <w:bodyDiv w:val="1"/>
      <w:marLeft w:val="0"/>
      <w:marRight w:val="0"/>
      <w:marTop w:val="0"/>
      <w:marBottom w:val="0"/>
      <w:divBdr>
        <w:top w:val="none" w:sz="0" w:space="0" w:color="auto"/>
        <w:left w:val="none" w:sz="0" w:space="0" w:color="auto"/>
        <w:bottom w:val="none" w:sz="0" w:space="0" w:color="auto"/>
        <w:right w:val="none" w:sz="0" w:space="0" w:color="auto"/>
      </w:divBdr>
      <w:divsChild>
        <w:div w:id="1278105562">
          <w:marLeft w:val="480"/>
          <w:marRight w:val="0"/>
          <w:marTop w:val="0"/>
          <w:marBottom w:val="0"/>
          <w:divBdr>
            <w:top w:val="none" w:sz="0" w:space="0" w:color="auto"/>
            <w:left w:val="none" w:sz="0" w:space="0" w:color="auto"/>
            <w:bottom w:val="none" w:sz="0" w:space="0" w:color="auto"/>
            <w:right w:val="none" w:sz="0" w:space="0" w:color="auto"/>
          </w:divBdr>
        </w:div>
        <w:div w:id="1604193450">
          <w:marLeft w:val="480"/>
          <w:marRight w:val="0"/>
          <w:marTop w:val="0"/>
          <w:marBottom w:val="0"/>
          <w:divBdr>
            <w:top w:val="none" w:sz="0" w:space="0" w:color="auto"/>
            <w:left w:val="none" w:sz="0" w:space="0" w:color="auto"/>
            <w:bottom w:val="none" w:sz="0" w:space="0" w:color="auto"/>
            <w:right w:val="none" w:sz="0" w:space="0" w:color="auto"/>
          </w:divBdr>
        </w:div>
        <w:div w:id="1920753401">
          <w:marLeft w:val="480"/>
          <w:marRight w:val="0"/>
          <w:marTop w:val="0"/>
          <w:marBottom w:val="0"/>
          <w:divBdr>
            <w:top w:val="none" w:sz="0" w:space="0" w:color="auto"/>
            <w:left w:val="none" w:sz="0" w:space="0" w:color="auto"/>
            <w:bottom w:val="none" w:sz="0" w:space="0" w:color="auto"/>
            <w:right w:val="none" w:sz="0" w:space="0" w:color="auto"/>
          </w:divBdr>
        </w:div>
        <w:div w:id="575015388">
          <w:marLeft w:val="480"/>
          <w:marRight w:val="0"/>
          <w:marTop w:val="0"/>
          <w:marBottom w:val="0"/>
          <w:divBdr>
            <w:top w:val="none" w:sz="0" w:space="0" w:color="auto"/>
            <w:left w:val="none" w:sz="0" w:space="0" w:color="auto"/>
            <w:bottom w:val="none" w:sz="0" w:space="0" w:color="auto"/>
            <w:right w:val="none" w:sz="0" w:space="0" w:color="auto"/>
          </w:divBdr>
        </w:div>
        <w:div w:id="1211530201">
          <w:marLeft w:val="480"/>
          <w:marRight w:val="0"/>
          <w:marTop w:val="0"/>
          <w:marBottom w:val="0"/>
          <w:divBdr>
            <w:top w:val="none" w:sz="0" w:space="0" w:color="auto"/>
            <w:left w:val="none" w:sz="0" w:space="0" w:color="auto"/>
            <w:bottom w:val="none" w:sz="0" w:space="0" w:color="auto"/>
            <w:right w:val="none" w:sz="0" w:space="0" w:color="auto"/>
          </w:divBdr>
        </w:div>
        <w:div w:id="1491480165">
          <w:marLeft w:val="480"/>
          <w:marRight w:val="0"/>
          <w:marTop w:val="0"/>
          <w:marBottom w:val="0"/>
          <w:divBdr>
            <w:top w:val="none" w:sz="0" w:space="0" w:color="auto"/>
            <w:left w:val="none" w:sz="0" w:space="0" w:color="auto"/>
            <w:bottom w:val="none" w:sz="0" w:space="0" w:color="auto"/>
            <w:right w:val="none" w:sz="0" w:space="0" w:color="auto"/>
          </w:divBdr>
        </w:div>
      </w:divsChild>
    </w:div>
    <w:div w:id="2047828146">
      <w:bodyDiv w:val="1"/>
      <w:marLeft w:val="0"/>
      <w:marRight w:val="0"/>
      <w:marTop w:val="0"/>
      <w:marBottom w:val="0"/>
      <w:divBdr>
        <w:top w:val="none" w:sz="0" w:space="0" w:color="auto"/>
        <w:left w:val="none" w:sz="0" w:space="0" w:color="auto"/>
        <w:bottom w:val="none" w:sz="0" w:space="0" w:color="auto"/>
        <w:right w:val="none" w:sz="0" w:space="0" w:color="auto"/>
      </w:divBdr>
    </w:div>
    <w:div w:id="2066678872">
      <w:bodyDiv w:val="1"/>
      <w:marLeft w:val="0"/>
      <w:marRight w:val="0"/>
      <w:marTop w:val="0"/>
      <w:marBottom w:val="0"/>
      <w:divBdr>
        <w:top w:val="none" w:sz="0" w:space="0" w:color="auto"/>
        <w:left w:val="none" w:sz="0" w:space="0" w:color="auto"/>
        <w:bottom w:val="none" w:sz="0" w:space="0" w:color="auto"/>
        <w:right w:val="none" w:sz="0" w:space="0" w:color="auto"/>
      </w:divBdr>
      <w:divsChild>
        <w:div w:id="349721038">
          <w:marLeft w:val="0"/>
          <w:marRight w:val="0"/>
          <w:marTop w:val="0"/>
          <w:marBottom w:val="0"/>
          <w:divBdr>
            <w:top w:val="none" w:sz="0" w:space="0" w:color="auto"/>
            <w:left w:val="none" w:sz="0" w:space="0" w:color="auto"/>
            <w:bottom w:val="none" w:sz="0" w:space="0" w:color="auto"/>
            <w:right w:val="none" w:sz="0" w:space="0" w:color="auto"/>
          </w:divBdr>
          <w:divsChild>
            <w:div w:id="19744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93924">
      <w:bodyDiv w:val="1"/>
      <w:marLeft w:val="0"/>
      <w:marRight w:val="0"/>
      <w:marTop w:val="0"/>
      <w:marBottom w:val="0"/>
      <w:divBdr>
        <w:top w:val="none" w:sz="0" w:space="0" w:color="auto"/>
        <w:left w:val="none" w:sz="0" w:space="0" w:color="auto"/>
        <w:bottom w:val="none" w:sz="0" w:space="0" w:color="auto"/>
        <w:right w:val="none" w:sz="0" w:space="0" w:color="auto"/>
      </w:divBdr>
      <w:divsChild>
        <w:div w:id="1717579904">
          <w:marLeft w:val="480"/>
          <w:marRight w:val="0"/>
          <w:marTop w:val="0"/>
          <w:marBottom w:val="0"/>
          <w:divBdr>
            <w:top w:val="none" w:sz="0" w:space="0" w:color="auto"/>
            <w:left w:val="none" w:sz="0" w:space="0" w:color="auto"/>
            <w:bottom w:val="none" w:sz="0" w:space="0" w:color="auto"/>
            <w:right w:val="none" w:sz="0" w:space="0" w:color="auto"/>
          </w:divBdr>
        </w:div>
        <w:div w:id="861020545">
          <w:marLeft w:val="480"/>
          <w:marRight w:val="0"/>
          <w:marTop w:val="0"/>
          <w:marBottom w:val="0"/>
          <w:divBdr>
            <w:top w:val="none" w:sz="0" w:space="0" w:color="auto"/>
            <w:left w:val="none" w:sz="0" w:space="0" w:color="auto"/>
            <w:bottom w:val="none" w:sz="0" w:space="0" w:color="auto"/>
            <w:right w:val="none" w:sz="0" w:space="0" w:color="auto"/>
          </w:divBdr>
        </w:div>
        <w:div w:id="1689521954">
          <w:marLeft w:val="480"/>
          <w:marRight w:val="0"/>
          <w:marTop w:val="0"/>
          <w:marBottom w:val="0"/>
          <w:divBdr>
            <w:top w:val="none" w:sz="0" w:space="0" w:color="auto"/>
            <w:left w:val="none" w:sz="0" w:space="0" w:color="auto"/>
            <w:bottom w:val="none" w:sz="0" w:space="0" w:color="auto"/>
            <w:right w:val="none" w:sz="0" w:space="0" w:color="auto"/>
          </w:divBdr>
        </w:div>
        <w:div w:id="186911943">
          <w:marLeft w:val="480"/>
          <w:marRight w:val="0"/>
          <w:marTop w:val="0"/>
          <w:marBottom w:val="0"/>
          <w:divBdr>
            <w:top w:val="none" w:sz="0" w:space="0" w:color="auto"/>
            <w:left w:val="none" w:sz="0" w:space="0" w:color="auto"/>
            <w:bottom w:val="none" w:sz="0" w:space="0" w:color="auto"/>
            <w:right w:val="none" w:sz="0" w:space="0" w:color="auto"/>
          </w:divBdr>
        </w:div>
        <w:div w:id="1130788030">
          <w:marLeft w:val="480"/>
          <w:marRight w:val="0"/>
          <w:marTop w:val="0"/>
          <w:marBottom w:val="0"/>
          <w:divBdr>
            <w:top w:val="none" w:sz="0" w:space="0" w:color="auto"/>
            <w:left w:val="none" w:sz="0" w:space="0" w:color="auto"/>
            <w:bottom w:val="none" w:sz="0" w:space="0" w:color="auto"/>
            <w:right w:val="none" w:sz="0" w:space="0" w:color="auto"/>
          </w:divBdr>
        </w:div>
        <w:div w:id="149390925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tiff"/><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tiff"/><Relationship Id="rId24" Type="http://schemas.openxmlformats.org/officeDocument/2006/relationships/image" Target="media/image16.png"/><Relationship Id="rId32" Type="http://schemas.openxmlformats.org/officeDocument/2006/relationships/image" Target="media/image24.tiff"/><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hyperlink" Target="https://doi.org/10.1016/j.scitotenv.2018.03.043"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tiff"/><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image" Target="media/image1.tiff"/><Relationship Id="rId51" Type="http://schemas.openxmlformats.org/officeDocument/2006/relationships/image" Target="media/image43.tiff"/><Relationship Id="rId72" Type="http://schemas.openxmlformats.org/officeDocument/2006/relationships/image" Target="media/image64.png"/><Relationship Id="rId80" Type="http://schemas.openxmlformats.org/officeDocument/2006/relationships/hyperlink" Target="https://doi.org/10.1016/j.envpol.2016.01.040"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tiff"/><Relationship Id="rId38" Type="http://schemas.openxmlformats.org/officeDocument/2006/relationships/image" Target="media/image30.tiff"/><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tiff"/><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tiff"/><Relationship Id="rId31" Type="http://schemas.openxmlformats.org/officeDocument/2006/relationships/image" Target="media/image23.tiff"/><Relationship Id="rId44" Type="http://schemas.openxmlformats.org/officeDocument/2006/relationships/image" Target="media/image36.png"/><Relationship Id="rId52" Type="http://schemas.openxmlformats.org/officeDocument/2006/relationships/image" Target="media/image44.tiff"/><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hyperlink" Target="https://doi.org/10.1016/j.envpol.2016.01.05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C17980C-1F54-478B-B74A-CCD2AF272FAA}"/>
      </w:docPartPr>
      <w:docPartBody>
        <w:p w:rsidR="00F60F9C" w:rsidRDefault="00CB62D4">
          <w:r w:rsidRPr="002657E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2D4"/>
    <w:rsid w:val="000B4848"/>
    <w:rsid w:val="002A070F"/>
    <w:rsid w:val="003650B0"/>
    <w:rsid w:val="00A93FC6"/>
    <w:rsid w:val="00BB0F23"/>
    <w:rsid w:val="00CB62D4"/>
    <w:rsid w:val="00CD52B6"/>
    <w:rsid w:val="00CF100C"/>
    <w:rsid w:val="00D4055C"/>
    <w:rsid w:val="00D561A6"/>
    <w:rsid w:val="00DA5709"/>
    <w:rsid w:val="00F41505"/>
    <w:rsid w:val="00F60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B62D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6D5691-39FC-40C4-8E60-09E5C58B94EF}">
  <we:reference id="wa104382081" version="1.55.1.0" store="en-US" storeType="OMEX"/>
  <we:alternateReferences>
    <we:reference id="wa104382081" version="1.55.1.0" store="en-US" storeType="OMEX"/>
  </we:alternateReferences>
  <we:properties>
    <we:property name="MENDELEY_CITATIONS" value="[{&quot;citationID&quot;:&quot;MENDELEY_CITATION_3415ecbb-d989-42aa-b91e-88f4f457c6ae&quot;,&quot;properties&quot;:{&quot;noteIndex&quot;:0},&quot;isEdited&quot;:false,&quot;manualOverride&quot;:{&quot;isManuallyOverridden&quot;:false,&quot;citeprocText&quot;:&quot;(De la Torre et al., 2016; Muñoz-Arnanz et al., 2016; Roscales et al., 2018)&quot;,&quot;manualOverrideText&quot;:&quot;&quot;},&quot;citationTag&quot;:&quot;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&quot;,&quot;citationItems&quot;:[{&quot;id&quot;:&quot;3d9f1976-8aac-33e5-8caf-9da9fb75f3ac&quot;,&quot;itemData&quot;:{&quot;type&quot;:&quot;article-journal&quot;,&quot;id&quot;:&quot;3d9f1976-8aac-33e5-8caf-9da9fb75f3ac&quot;,&quot;title&quot;:&quot;Time trends of persistent organic pollutants in spanish air&quot;,&quot;author&quot;:[{&quot;family&quot;:&quot;la Torre&quot;,&quot;given&quot;:&quot;Adrián&quot;,&quot;parse-names&quot;:false,&quot;dropping-particle&quot;:&quot;&quot;,&quot;non-dropping-particle&quot;:&quot;De&quot;},{&quot;family&quot;:&quot;Sanz&quot;,&quot;given&quot;:&quot;Paloma&quot;,&quot;parse-names&quot;:false,&quot;dropping-particle&quot;:&quot;&quot;,&quot;non-dropping-particle&quot;:&quot;&quot;},{&quot;family&quot;:&quot;Navarro&quot;,&quot;given&quot;:&quot;Irene&quot;,&quot;parse-names&quot;:false,&quot;dropping-particle&quot;:&quot;&quot;,&quot;non-dropping-particle&quot;:&quot;&quot;},{&quot;family&quot;:&quot;Martínez&quot;,&quot;given&quot;:&quot;María Ángeles&quot;,&quot;parse-names&quot;:false,&quot;dropping-particle&quot;:&quot;&quot;,&quot;non-dropping-particle&quot;:&quot;&quot;}],&quot;container-title&quot;:&quot;Environmental Pollution&quot;,&quot;DOI&quot;:&quot;10.1016/j.envpol.2016.01.040&quot;,&quot;ISSN&quot;:&quot;18736424&quot;,&quot;PMID&quot;:&quot;26843029&quot;,&quot;issued&quot;:{&quot;date-parts&quot;:[[2016,10,1]]},&quot;page&quot;:&quot;26-32&quot;,&quot;abstract&quot;:&quot;Passive air samplers consisting of polyurethane foam (PUF) disks were deployed in seven remote points and four urban locations to assess levels of polychlorinated dibenzo-p-dioxins and dibenzofurans (PCDD/Fs), polychlorinated biphenyls (PCBs), polybrominated diphenyl ethers (PBDEs), and some organochlorine pesticides including: 1,1'-(2,2,2-trichloroethane-1,1-diyl)bis(4-chlorobenzene) (DDT) and their metabolites (1,1-bis-(4-chlorophenyl)-2,2-dichloroethene (DDE) and 1-chloro-4-[2,2-dichloro-1-(4-chlorophenyl)ethyl]benzene (DDD)), hexaclorobenzene (HCB) and hexachlorocyclohexanes (HCHs), in the Spanish ambient air. Results revealed HCB (49 pg m−3; median) as the major pollutant, followed in decreasing order by HCHs (21 pg m−3), ∑DDT/E/Ds (20 pg m−3), PCBs (20 pg m−3), PBDEs (3.3 pg m−3) and PCDD/Fs (0.04 pg m−3), when urban and remote locations are evaluated together. Urban areas presented statistically significant (p &lt; 0.05, Mann–Whitney U test) higher levels for all families studied, except for HCB, compared to remote locations revealing anthropogenic activities as potential sources for these chemicals. On the contrary, HCB concentrations seem to reflect background levels. Interestingly, results reveal a decreasing trend for PCBs, PBDEs and DDTs levels in remote areas, while this behaviour is only statistically significant in the case of the former chemicals in urban locations. The present study is framed in the Spanish air monitoring plan and represents the first complete analysis related to POP presence in Spanish air coming from inner sites.&quot;,&quot;publisher&quot;:&quot;Elsevier Ltd&quot;,&quot;volume&quot;:&quot;217&quot;},&quot;isTemporary&quot;:false},{&quot;id&quot;:&quot;96a6eb0f-8f0d-3452-9a48-9a568d907fa3&quot;,&quot;itemData&quot;:{&quot;type&quot;:&quot;article-journal&quot;,&quot;id&quot;:&quot;96a6eb0f-8f0d-3452-9a48-9a568d907fa3&quot;,&quot;title&quot;:&quot;Towards the implementation of the Stockholm Convention in Spain: Five-year monitoring (2008–2013) of POPs in air based on passive sampling&quot;,&quot;author&quot;:[{&quot;family&quot;:&quot;Muñoz-Arnanz&quot;,&quot;given&quot;:&quot;Juan&quot;,&quot;parse-names&quot;:false,&quot;dropping-particle&quot;:&quot;&quot;,&quot;non-dropping-particle&quot;:&quot;&quot;},{&quot;family&quot;:&quot;Roscales&quot;,&quot;given&quot;:&quot;Jose L&quot;,&quot;parse-names&quot;:false,&quot;dropping-particle&quot;:&quot;&quot;,&quot;non-dropping-particle&quot;:&quot;&quot;},{&quot;family&quot;:&quot;Ros&quot;,&quot;given&quot;:&quot;María&quot;,&quot;parse-names&quot;:false,&quot;dropping-particle&quot;:&quot;&quot;,&quot;non-dropping-particle&quot;:&quot;&quot;},{&quot;family&quot;:&quot;Vicente&quot;,&quot;given&quot;:&quot;Alba&quot;,&quot;parse-names&quot;:false,&quot;dropping-particle&quot;:&quot;&quot;,&quot;non-dropping-particle&quot;:&quot;&quot;},{&quot;family&quot;:&quot;Jiménez&quot;,&quot;given&quot;:&quot;Begoña&quot;,&quot;parse-names&quot;:false,&quot;dropping-particle&quot;:&quot;&quot;,&quot;non-dropping-particle&quot;:&quot;&quot;}],&quot;container-title&quot;:&quot;Environmental Pollution&quot;,&quot;DOI&quot;:&quot;10.1016/j.envpol.2016.01.052&quot;,&quot;ISSN&quot;:&quot;02697491&quot;,&quot;URL&quot;:&quot;http://linkinghub.elsevier.com/retrieve/pii/S0269749116300525&quot;,&quot;issued&quot;:{&quot;date-parts&quot;:[[2016]]},&quot;page&quot;:&quot;1-7&quot;,&quot;container-title-short&quot;:&quot;&quot;},&quot;isTemporary&quot;:false},{&quot;id&quot;:&quot;b9db5fcd-9828-3033-b047-52390f99f779&quot;,&quot;itemData&quot;:{&quot;type&quot;:&quot;article-journal&quot;,&quot;id&quot;:&quot;b9db5fcd-9828-3033-b047-52390f99f779&quot;,&quot;title&quot;:&quot;Assessment of POPs in air from Spain using passive sampling from 2008 to 2015. Part I: Spatial and temporal observations of PBDEs&quot;,&quot;author&quot;:[{&quot;family&quot;:&quot;Roscales&quot;,&quot;given&quot;:&quot;Jose L.&quot;,&quot;parse-names&quot;:false,&quot;dropping-particle&quot;:&quot;&quot;,&quot;non-dropping-particle&quot;:&quot;&quot;},{&quot;family&quot;:&quot;Muñoz-Arnanz&quot;,&quot;given&quot;:&quot;Juan&quot;,&quot;parse-names&quot;:false,&quot;dropping-particle&quot;:&quot;&quot;,&quot;non-dropping-particle&quot;:&quot;&quot;},{&quot;family&quot;:&quot;Ros&quot;,&quot;given&quot;:&quot;María&quot;,&quot;parse-names&quot;:false,&quot;dropping-particle&quot;:&quot;&quot;,&quot;non-dropping-particle&quot;:&quot;&quot;},{&quot;family&quot;:&quot;Vicente&quot;,&quot;given&quot;:&quot;Alba&quot;,&quot;parse-names&quot;:false,&quot;dropping-particle&quot;:&quot;&quot;,&quot;non-dropping-particle&quot;:&quot;&quot;},{&quot;family&quot;:&quot;Barrios&quot;,&quot;given&quot;:&quot;Laura&quot;,&quot;parse-names&quot;:false,&quot;dropping-particle&quot;:&quot;&quot;,&quot;non-dropping-particle&quot;:&quot;&quot;},{&quot;family&quot;:&quot;Jiménez&quot;,&quot;given&quot;:&quot;Begoña&quot;,&quot;parse-names&quot;:false,&quot;dropping-particle&quot;:&quot;&quot;,&quot;non-dropping-particle&quot;:&quot;&quot;}],&quot;container-title&quot;:&quot;Science of the Total Environment&quot;,&quot;DOI&quot;:&quot;10.1016/j.scitotenv.2018.03.043&quot;,&quot;ISSN&quot;:&quot;18791026&quot;,&quot;PMID&quot;:&quot;29550067&quot;,&quot;issued&quot;:{&quot;date-parts&quot;:[[2018,9,1]]},&quot;page&quot;:&quot;1657-1668&quot;,&quot;abstract&quot;:&quot;The Stockholm Convention (SC) on Persistent Organic Pollutants (POPs) calls for the Parties’ effectiveness evaluation of those measures taken to meet the reduction and eventual elimination of POPs from the environment. With that goal, air concentrations of different POP families have been measured uninterruptedly since 2008 under the Spanish Monitoring Program (SMP) by means of passive air sampling. This work focuses on data for polybrominated diphenyl ethers (PBDEs) determined in a total of 321 samples collected seasonally each year in 5 urban and 7 background sites. Neither significant temporal trends nor significant seasonal variations for total PBDE air burdens were detected. In contrast, significant variations were found among PBDE congeners. Those related to the octa-PBDE formulation significantly decreased in the study period. However, PBDEs related to the penta-formulation showed steady concentrations while PBDE-209, the congener found at the greatest levels, showed increasing or steady levels in most sampling sites. Seasonal variations were also markedly different among congeners. Concentrations of the lightest PBDEs (tri- to penta-substituted) were highly influenced by ambient temperature (T), showing maximum values in summer probably due to higher volatilization rates compared to those of heavier PBDEs. Contrarily, no clear seasonal trends were found for hexa- to deca-PBDEs, which were negatively related to precipitation; thereby, indicating an efficient atmospheric wash out by wet deposition episodes. Regarding spatial patterns, overall significant greater PBDE levels were found in cities compared to background areas, pointing out the role of highly populated areas as sources for these pollutants in Spain. Yet and especially in the case of PBDE-209, our results suggested the presence of significant unknown sources of PBDEs in some background sites. Further monitoring efforts are needed to assess potential unknown sources in the sampling network as well as to ensure temporal trends of these pollutants in Spain.&quot;,&quot;publisher&quot;:&quot;Elsevier B.V.&quot;,&quot;volume&quot;:&quot;634&quot;,&quot;container-title-short&quot;:&quot;&quot;},&quot;isTemporary&quot;:false}]},{&quot;citationID&quot;:&quot;MENDELEY_CITATION_63c1974d-7bdb-4527-8603-ca2611b00f2f&quot;,&quot;properties&quot;:{&quot;noteIndex&quot;:0},&quot;isEdited&quot;:false,&quot;manualOverride&quot;:{&quot;isManuallyOverridden&quot;:false,&quot;citeprocText&quot;:&quot;(UNEP, 2025)&quot;,&quot;manualOverrideText&quot;:&quot;&quot;},&quot;citationTag&quot;:&quot;MENDELEY_CITATION_v3_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&quot;,&quot;citationItems&quot;:[{&quot;id&quot;:&quot;4a472872-9c19-3832-accd-3ddc9e2f7b36&quot;,&quot;itemData&quot;:{&quot;type&quot;:&quot;article&quot;,&quot;id&quot;:&quot;4a472872-9c19-3832-accd-3ddc9e2f7b36&quot;,&quot;title&quot;:&quot;Guidance on the Global Monitoring Plan for Persistent Organic Pollutants&quot;,&quot;author&quot;:[{&quot;family&quot;:&quot;UNEP&quot;,&quot;given&quot;:&quot;&quot;,&quot;parse-names&quot;:false,&quot;dropping-particle&quot;:&quot;&quot;,&quot;non-dropping-particle&quot;:&quot;&quot;}],&quot;URL&quot;:&quot;files/125/UNEP - 2025 - Guidance on the Global Monitoring Plan for Persistent Organic PollutantsGuidance on the GMP January.pdf&quot;,&quot;issued&quot;:{&quot;date-parts&quot;:[[2025]]}},&quot;isTemporary&quot;:false}]},{&quot;citationID&quot;:&quot;MENDELEY_CITATION_9da33b52-ec3c-468a-831a-485ce4ca787c&quot;,&quot;properties&quot;:{&quot;noteIndex&quot;:0},&quot;isEdited&quot;:false,&quot;manualOverride&quot;:{&quot;isManuallyOverridden&quot;:false,&quot;citeprocText&quot;:&quot;(AMAP, 2014)&quot;,&quot;manualOverrideText&quot;:&quot;&quot;},&quot;citationTag&quot;:&quot;MENDELEY_CITATION_v3_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&quot;,&quot;citationItems&quot;:[{&quot;id&quot;:&quot;fb4b7018-4e76-361e-a34a-00ba53d6c67b&quot;,&quot;itemData&quot;:{&quot;type&quot;:&quot;report&quot;,&quot;id&quot;:&quot;fb4b7018-4e76-361e-a34a-00ba53d6c67b&quot;,&quot;title&quot;:&quot;Trends in Stockholm Convention Persistent Organic Pollutants (POPS) in Arctic Air, Human Media and Biota. AMAP Technical Report to the Stockholm Convention. AMAP Technical Report\nNo. 7 (2014), Arctic Monitoring and Assessment Programme (AMAP), Oslo, Norway&quot;,&quot;author&quot;:[{&quot;family&quot;:&quot;AMAP&quot;,&quot;given&quot;:&quot;&quot;,&quot;parse-names&quot;:false,&quot;dropping-particle&quot;:&quot;&quot;,&quot;non-dropping-particle&quot;:&quot;&quot;}],&quot;ISBN&quot;:&quot;9788279710844&quot;,&quot;issued&quot;:{&quot;date-parts&quot;:[[2014]]},&quot;abstract&quot;:&quot;Website viewed on 04-03-2019. &quot;,&quot;publisher&quot;:&quot;Arctic Monitoring and Assessment Programme&quot;},&quot;isTemporary&quot;:false}]},{&quot;citationID&quot;:&quot;MENDELEY_CITATION_3e9d9238-9992-489e-b1ec-604b48fd4e1a&quot;,&quot;properties&quot;:{&quot;noteIndex&quot;:0},&quot;isEdited&quot;:false,&quot;manualOverride&quot;:{&quot;isManuallyOverridden&quot;:true,&quot;citeprocText&quot;:&quot;(OSPAR, 2023)&quot;,&quot;manualOverrideText&quot;:&quot;OSPAR (2023)&quot;},&quot;citationTag&quot;:&quot;MENDELEY_CITATION_v3_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&quot;,&quot;citationItems&quot;:[{&quot;id&quot;:&quot;9b5f705c-af90-3817-a935-5d3415c7b09e&quot;,&quot;itemData&quot;:{&quot;type&quot;:&quot;report&quot;,&quot;id&quot;:&quot;9b5f705c-af90-3817-a935-5d3415c7b09e&quot;,&quot;title&quot;:&quot;CEMP Assessment Manual: Coordinated Environmental Monitoring Programme. OSPAR Commission, London. Available at: www.ospar.org&quot;,&quot;author&quot;:[{&quot;family&quot;:&quot;OSPAR&quot;,&quot;given&quot;:&quot;&quot;,&quot;parse-names&quot;:false,&quot;dropping-particle&quot;:&quot;&quot;,&quot;non-dropping-particle&quot;:&quot;&quot;}],&quot;issued&quot;:{&quot;date-parts&quot;:[[2023]]},&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true"/>
    <we:property name="MENDELEY_BIBLIOGRAPHY_LAST_MODIFIED" value="1775664229623"/>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2C76-9339-43E7-A182-6F940D1D6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2903</Words>
  <Characters>16549</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CIEMAT</Company>
  <LinksUpToDate>false</LinksUpToDate>
  <CharactersWithSpaces>19414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 Haro, Adrian De La</dc:creator>
  <cp:keywords/>
  <dc:description/>
  <cp:lastModifiedBy>Torre Haro, Adrian De La</cp:lastModifiedBy>
  <cp:revision>2</cp:revision>
  <cp:lastPrinted>2026-04-15T10:58:00Z</cp:lastPrinted>
  <dcterms:created xsi:type="dcterms:W3CDTF">2026-07-13T16:20:00Z</dcterms:created>
  <dcterms:modified xsi:type="dcterms:W3CDTF">2026-07-13T16:20:00Z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