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3465" w:rsidRPr="007F63DD" w:rsidRDefault="005E3465" w:rsidP="005C47F3">
      <w:pPr>
        <w:jc w:val="center"/>
        <w:rPr>
          <w:rFonts w:ascii="Times New Roman" w:hAnsi="Times New Roman" w:cs="Times New Roman"/>
          <w:b/>
          <w:sz w:val="24"/>
          <w:szCs w:val="24"/>
          <w:lang w:val="en-US"/>
        </w:rPr>
      </w:pPr>
      <w:r w:rsidRPr="007F63DD">
        <w:rPr>
          <w:rFonts w:ascii="Times New Roman" w:hAnsi="Times New Roman" w:cs="Times New Roman"/>
          <w:b/>
          <w:sz w:val="24"/>
          <w:szCs w:val="24"/>
          <w:lang w:val="en-US"/>
        </w:rPr>
        <w:t>Key factors to develop hybrid photoactive materials based on mesoporous carbon/TiO</w:t>
      </w:r>
      <w:r w:rsidRPr="007F63DD">
        <w:rPr>
          <w:rFonts w:ascii="Times New Roman" w:hAnsi="Times New Roman" w:cs="Times New Roman"/>
          <w:b/>
          <w:sz w:val="24"/>
          <w:szCs w:val="24"/>
          <w:vertAlign w:val="subscript"/>
          <w:lang w:val="en-US"/>
        </w:rPr>
        <w:t>2</w:t>
      </w:r>
      <w:r w:rsidRPr="007F63DD">
        <w:rPr>
          <w:rFonts w:ascii="Times New Roman" w:hAnsi="Times New Roman" w:cs="Times New Roman"/>
          <w:b/>
          <w:sz w:val="24"/>
          <w:szCs w:val="24"/>
          <w:lang w:val="en-US"/>
        </w:rPr>
        <w:t xml:space="preserve"> for removal of volatile organic compounds in air streams</w:t>
      </w:r>
    </w:p>
    <w:p w:rsidR="005E3465" w:rsidRPr="007F63DD" w:rsidRDefault="005E3465" w:rsidP="005C47F3">
      <w:pPr>
        <w:jc w:val="center"/>
        <w:rPr>
          <w:rFonts w:ascii="Times New Roman" w:hAnsi="Times New Roman" w:cs="Times New Roman"/>
          <w:i/>
          <w:sz w:val="18"/>
          <w:szCs w:val="18"/>
        </w:rPr>
      </w:pPr>
      <w:r w:rsidRPr="007F63DD">
        <w:rPr>
          <w:rFonts w:ascii="Times New Roman" w:hAnsi="Times New Roman" w:cs="Times New Roman"/>
          <w:i/>
          <w:sz w:val="18"/>
          <w:szCs w:val="18"/>
        </w:rPr>
        <w:t>I. Jansson</w:t>
      </w:r>
      <w:r w:rsidRPr="007F63DD">
        <w:rPr>
          <w:rFonts w:ascii="Times New Roman" w:hAnsi="Times New Roman" w:cs="Times New Roman"/>
          <w:i/>
          <w:sz w:val="18"/>
          <w:szCs w:val="18"/>
          <w:vertAlign w:val="superscript"/>
        </w:rPr>
        <w:t>1</w:t>
      </w:r>
      <w:r w:rsidRPr="007F63DD">
        <w:rPr>
          <w:rFonts w:ascii="Times New Roman" w:hAnsi="Times New Roman" w:cs="Times New Roman"/>
          <w:i/>
          <w:sz w:val="18"/>
          <w:szCs w:val="18"/>
        </w:rPr>
        <w:t>, F. J. García-García</w:t>
      </w:r>
      <w:r w:rsidRPr="007F63DD">
        <w:rPr>
          <w:rFonts w:ascii="Times New Roman" w:hAnsi="Times New Roman" w:cs="Times New Roman"/>
          <w:i/>
          <w:sz w:val="18"/>
          <w:szCs w:val="18"/>
          <w:vertAlign w:val="superscript"/>
        </w:rPr>
        <w:t>2</w:t>
      </w:r>
      <w:r w:rsidRPr="007F63DD">
        <w:rPr>
          <w:rFonts w:ascii="Times New Roman" w:hAnsi="Times New Roman" w:cs="Times New Roman"/>
          <w:i/>
          <w:sz w:val="18"/>
          <w:szCs w:val="18"/>
        </w:rPr>
        <w:t>, B. Sánchez</w:t>
      </w:r>
      <w:r w:rsidRPr="007F63DD">
        <w:rPr>
          <w:rFonts w:ascii="Times New Roman" w:hAnsi="Times New Roman" w:cs="Times New Roman"/>
          <w:i/>
          <w:sz w:val="18"/>
          <w:szCs w:val="18"/>
          <w:vertAlign w:val="superscript"/>
        </w:rPr>
        <w:t>1</w:t>
      </w:r>
      <w:r w:rsidRPr="007F63DD">
        <w:rPr>
          <w:rFonts w:ascii="Times New Roman" w:hAnsi="Times New Roman" w:cs="Times New Roman"/>
          <w:i/>
          <w:sz w:val="18"/>
          <w:szCs w:val="18"/>
        </w:rPr>
        <w:t>, S. Suárez</w:t>
      </w:r>
      <w:r w:rsidRPr="007F63DD">
        <w:rPr>
          <w:rFonts w:ascii="Times New Roman" w:hAnsi="Times New Roman" w:cs="Times New Roman"/>
          <w:i/>
          <w:sz w:val="18"/>
          <w:szCs w:val="18"/>
          <w:vertAlign w:val="superscript"/>
        </w:rPr>
        <w:t>1*</w:t>
      </w:r>
    </w:p>
    <w:p w:rsidR="005E3465" w:rsidRPr="007F63DD" w:rsidRDefault="005E3465" w:rsidP="00006991">
      <w:pPr>
        <w:spacing w:after="0" w:line="360" w:lineRule="auto"/>
        <w:jc w:val="center"/>
        <w:rPr>
          <w:rFonts w:ascii="Times New Roman" w:hAnsi="Times New Roman" w:cs="Times New Roman"/>
          <w:i/>
          <w:sz w:val="16"/>
          <w:szCs w:val="16"/>
        </w:rPr>
      </w:pPr>
      <w:r w:rsidRPr="007F63DD">
        <w:rPr>
          <w:rFonts w:ascii="Times New Roman" w:hAnsi="Times New Roman" w:cs="Times New Roman"/>
          <w:i/>
          <w:sz w:val="16"/>
          <w:szCs w:val="16"/>
          <w:lang w:val="en-US"/>
        </w:rPr>
        <w:t xml:space="preserve">(1) CIEMAT, Renewable Energy Division, FOTOAIR: Group of Analysis and Photocatalytic Treatment of Pollutant in Air, Avda. </w:t>
      </w:r>
      <w:r w:rsidRPr="007F63DD">
        <w:rPr>
          <w:rFonts w:ascii="Times New Roman" w:hAnsi="Times New Roman" w:cs="Times New Roman"/>
          <w:i/>
          <w:sz w:val="16"/>
          <w:szCs w:val="16"/>
        </w:rPr>
        <w:t>Complutense, 40, 28040, Madrid, Spain</w:t>
      </w:r>
    </w:p>
    <w:p w:rsidR="005E3465" w:rsidRPr="007F63DD" w:rsidRDefault="005E3465" w:rsidP="00006991">
      <w:pPr>
        <w:spacing w:after="0" w:line="360" w:lineRule="auto"/>
        <w:jc w:val="center"/>
        <w:rPr>
          <w:rFonts w:ascii="Times New Roman" w:hAnsi="Times New Roman" w:cs="Times New Roman"/>
          <w:i/>
          <w:sz w:val="16"/>
          <w:szCs w:val="16"/>
          <w:lang w:val="en-US"/>
        </w:rPr>
      </w:pPr>
      <w:r w:rsidRPr="007F63DD" w:rsidDel="005C2A9F">
        <w:rPr>
          <w:rFonts w:ascii="Times New Roman" w:hAnsi="Times New Roman" w:cs="Times New Roman"/>
          <w:i/>
          <w:sz w:val="16"/>
          <w:szCs w:val="16"/>
        </w:rPr>
        <w:t xml:space="preserve"> </w:t>
      </w:r>
      <w:r w:rsidRPr="007F63DD">
        <w:rPr>
          <w:rFonts w:ascii="Times New Roman" w:hAnsi="Times New Roman" w:cs="Times New Roman"/>
          <w:i/>
          <w:sz w:val="16"/>
          <w:szCs w:val="16"/>
        </w:rPr>
        <w:t xml:space="preserve">(2) ICTS-CNME, Universidad Complutense de Madrid, Av. </w:t>
      </w:r>
      <w:r w:rsidRPr="007F63DD">
        <w:rPr>
          <w:rFonts w:ascii="Times New Roman" w:hAnsi="Times New Roman" w:cs="Times New Roman"/>
          <w:i/>
          <w:sz w:val="16"/>
          <w:szCs w:val="16"/>
          <w:lang w:val="en-US"/>
        </w:rPr>
        <w:t>Complutense S/N, 28040-Madrid</w:t>
      </w:r>
    </w:p>
    <w:p w:rsidR="005E3465" w:rsidRPr="007F63DD" w:rsidRDefault="005E3465" w:rsidP="00006991">
      <w:pPr>
        <w:spacing w:after="0" w:line="360" w:lineRule="auto"/>
        <w:jc w:val="center"/>
        <w:rPr>
          <w:rFonts w:ascii="Times New Roman" w:hAnsi="Times New Roman" w:cs="Times New Roman"/>
          <w:i/>
          <w:sz w:val="16"/>
          <w:szCs w:val="16"/>
          <w:lang w:val="en-US"/>
        </w:rPr>
      </w:pPr>
    </w:p>
    <w:p w:rsidR="005E3465" w:rsidRPr="007F63DD" w:rsidRDefault="005E3465" w:rsidP="00006991">
      <w:pPr>
        <w:spacing w:after="0" w:line="360" w:lineRule="auto"/>
        <w:jc w:val="center"/>
        <w:rPr>
          <w:rFonts w:ascii="Times New Roman" w:hAnsi="Times New Roman" w:cs="Times New Roman"/>
          <w:i/>
          <w:sz w:val="16"/>
          <w:szCs w:val="16"/>
          <w:lang w:val="en-US"/>
        </w:rPr>
      </w:pPr>
    </w:p>
    <w:p w:rsidR="005E3465" w:rsidRPr="007F63DD" w:rsidRDefault="005E3465" w:rsidP="00006991">
      <w:pPr>
        <w:spacing w:after="0" w:line="360" w:lineRule="auto"/>
        <w:jc w:val="center"/>
        <w:rPr>
          <w:rFonts w:ascii="Times New Roman" w:hAnsi="Times New Roman" w:cs="Times New Roman"/>
          <w:i/>
          <w:sz w:val="16"/>
          <w:szCs w:val="16"/>
          <w:lang w:val="en-US"/>
        </w:rPr>
      </w:pPr>
    </w:p>
    <w:p w:rsidR="005E3465" w:rsidRPr="007F63DD" w:rsidRDefault="005E3465" w:rsidP="00006991">
      <w:pPr>
        <w:spacing w:after="0" w:line="360" w:lineRule="auto"/>
        <w:jc w:val="center"/>
        <w:rPr>
          <w:rFonts w:ascii="Times New Roman" w:hAnsi="Times New Roman" w:cs="Times New Roman"/>
          <w:i/>
          <w:sz w:val="20"/>
          <w:szCs w:val="20"/>
          <w:lang w:val="en-US"/>
        </w:rPr>
      </w:pPr>
    </w:p>
    <w:p w:rsidR="005E3465" w:rsidRPr="007F63DD" w:rsidRDefault="005E3465" w:rsidP="00006991">
      <w:pPr>
        <w:spacing w:after="0" w:line="360" w:lineRule="auto"/>
        <w:jc w:val="center"/>
        <w:rPr>
          <w:rFonts w:ascii="Times New Roman" w:hAnsi="Times New Roman" w:cs="Times New Roman"/>
          <w:i/>
          <w:sz w:val="20"/>
          <w:szCs w:val="20"/>
          <w:lang w:val="en-US"/>
        </w:rPr>
      </w:pPr>
    </w:p>
    <w:p w:rsidR="005E3465" w:rsidRPr="007F63DD" w:rsidRDefault="005E3465" w:rsidP="00F310B3">
      <w:pPr>
        <w:pStyle w:val="Textoindependiente2"/>
        <w:ind w:left="1260" w:hanging="1260"/>
        <w:jc w:val="both"/>
        <w:rPr>
          <w:sz w:val="20"/>
          <w:szCs w:val="20"/>
        </w:rPr>
      </w:pPr>
      <w:r w:rsidRPr="007F63DD">
        <w:rPr>
          <w:sz w:val="20"/>
          <w:szCs w:val="20"/>
        </w:rPr>
        <w:t>* To whom all correspondence should be addressed:</w:t>
      </w:r>
    </w:p>
    <w:p w:rsidR="005E3465" w:rsidRPr="007F63DD" w:rsidRDefault="005E3465" w:rsidP="00F310B3">
      <w:pPr>
        <w:rPr>
          <w:rFonts w:ascii="Times New Roman" w:hAnsi="Times New Roman" w:cs="Times New Roman"/>
          <w:i/>
          <w:sz w:val="16"/>
          <w:szCs w:val="16"/>
          <w:u w:val="single"/>
          <w:lang w:val="en-US"/>
        </w:rPr>
      </w:pPr>
      <w:r w:rsidRPr="007F63DD">
        <w:rPr>
          <w:rFonts w:ascii="Times New Roman" w:hAnsi="Times New Roman" w:cs="Times New Roman"/>
          <w:lang w:val="en-US"/>
        </w:rPr>
        <w:t xml:space="preserve">e-mail: </w:t>
      </w:r>
      <w:hyperlink r:id="rId7" w:history="1">
        <w:r w:rsidRPr="007F63DD">
          <w:rPr>
            <w:rStyle w:val="Hipervnculo"/>
            <w:rFonts w:ascii="Times New Roman" w:hAnsi="Times New Roman" w:cs="Times New Roman"/>
            <w:i/>
            <w:color w:val="auto"/>
            <w:sz w:val="16"/>
            <w:szCs w:val="16"/>
            <w:lang w:val="en-US"/>
          </w:rPr>
          <w:t>silvia.suarez@ciemat.es</w:t>
        </w:r>
      </w:hyperlink>
      <w:r w:rsidRPr="007F63DD">
        <w:rPr>
          <w:rStyle w:val="Hipervnculo"/>
          <w:rFonts w:ascii="Times New Roman" w:hAnsi="Times New Roman" w:cs="Times New Roman"/>
          <w:i/>
          <w:color w:val="auto"/>
          <w:sz w:val="16"/>
          <w:szCs w:val="16"/>
          <w:lang w:val="en-US"/>
        </w:rPr>
        <w:t xml:space="preserve">; </w:t>
      </w:r>
      <w:r w:rsidRPr="007F63DD">
        <w:rPr>
          <w:rFonts w:ascii="Times New Roman" w:hAnsi="Times New Roman" w:cs="Times New Roman"/>
          <w:i/>
          <w:sz w:val="16"/>
          <w:szCs w:val="16"/>
          <w:u w:val="single"/>
          <w:lang w:val="en-US"/>
        </w:rPr>
        <w:t>Tel.: +34-913466177 Fax :+34-913466037</w:t>
      </w:r>
    </w:p>
    <w:p w:rsidR="005E3465" w:rsidRPr="007F63DD" w:rsidRDefault="005E3465">
      <w:pPr>
        <w:rPr>
          <w:rFonts w:cstheme="minorHAnsi"/>
          <w:i/>
          <w:sz w:val="16"/>
          <w:szCs w:val="16"/>
          <w:u w:val="single"/>
          <w:lang w:val="en-US"/>
        </w:rPr>
      </w:pPr>
      <w:r w:rsidRPr="007F63DD">
        <w:rPr>
          <w:rFonts w:cstheme="minorHAnsi"/>
          <w:i/>
          <w:sz w:val="16"/>
          <w:szCs w:val="16"/>
          <w:u w:val="single"/>
          <w:lang w:val="en-US"/>
        </w:rPr>
        <w:br w:type="page"/>
      </w:r>
    </w:p>
    <w:p w:rsidR="005E3465" w:rsidRPr="007F63DD" w:rsidRDefault="005E3465" w:rsidP="00F310B3">
      <w:pPr>
        <w:tabs>
          <w:tab w:val="left" w:pos="688"/>
        </w:tabs>
        <w:rPr>
          <w:rFonts w:ascii="Times New Roman" w:hAnsi="Times New Roman" w:cs="Times New Roman"/>
          <w:b/>
          <w:sz w:val="24"/>
          <w:szCs w:val="24"/>
          <w:lang w:val="en-US"/>
        </w:rPr>
      </w:pPr>
      <w:r w:rsidRPr="007F63DD">
        <w:rPr>
          <w:rFonts w:ascii="Times New Roman" w:hAnsi="Times New Roman" w:cs="Times New Roman"/>
          <w:b/>
          <w:sz w:val="24"/>
          <w:szCs w:val="24"/>
          <w:lang w:val="en-US"/>
        </w:rPr>
        <w:lastRenderedPageBreak/>
        <w:t>Abstract</w:t>
      </w:r>
    </w:p>
    <w:p w:rsidR="005E3465" w:rsidRPr="007F63DD" w:rsidRDefault="005E3465" w:rsidP="00623C30">
      <w:pPr>
        <w:tabs>
          <w:tab w:val="left" w:pos="688"/>
        </w:tabs>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The performance of a series of adsorbent-photocatalyst hybrids (APHs) based on graphitized mesoporous carbons and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for the photooxidation of formaldehyde and trichloroethylene in gas phase has been studied.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was incorporated to different carbonaceous materials including a commercial mesoporous carbon, Starbons with different hydrophobicity and micro-mesoporosity and activated carbon. However, the actual performance of the APHs is strongly affected by the nature of the carbonaceous material and the synthesis route selected to prepare the 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hybrids. The results obtained show the importance of the preparation route for the optimum distribution of the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nanoparticles on the porous carbon and the influence on its photocatalytic properties. The photocatalysts prepared via mechanical mixing exhibit higher activity than those synthetized by incipient wet impregnation. The hybrid based on the hydrophobic Starbon ST-800 and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achieved total removal of formaldehyde at high gas flow, improving by a 15 % the degradation rate of bare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without formation of undesired by-products. Moreover, in the case of the organochloride compound, both the reaction rate and the selectivity to CO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were promoted over ST-800/TiO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being the most photoactive material of the series with a great stability over reaction time. </w:t>
      </w:r>
    </w:p>
    <w:p w:rsidR="005E3465" w:rsidRPr="007F63DD" w:rsidRDefault="005E3465" w:rsidP="00F310B3">
      <w:pPr>
        <w:tabs>
          <w:tab w:val="left" w:pos="688"/>
        </w:tabs>
        <w:jc w:val="both"/>
        <w:rPr>
          <w:rFonts w:ascii="Times New Roman" w:hAnsi="Times New Roman" w:cs="Times New Roman"/>
          <w:i/>
          <w:sz w:val="24"/>
          <w:szCs w:val="24"/>
          <w:lang w:val="en-US"/>
        </w:rPr>
      </w:pPr>
      <w:r w:rsidRPr="007F63DD">
        <w:rPr>
          <w:rFonts w:ascii="Times New Roman" w:hAnsi="Times New Roman" w:cs="Times New Roman"/>
          <w:i/>
          <w:sz w:val="24"/>
          <w:szCs w:val="24"/>
          <w:lang w:val="en-US"/>
        </w:rPr>
        <w:t>Keywords: Photocatalysis; mesoporous carbon-TiO</w:t>
      </w:r>
      <w:r w:rsidRPr="007F63DD">
        <w:rPr>
          <w:rFonts w:ascii="Times New Roman" w:hAnsi="Times New Roman" w:cs="Times New Roman"/>
          <w:i/>
          <w:sz w:val="24"/>
          <w:szCs w:val="24"/>
          <w:vertAlign w:val="subscript"/>
          <w:lang w:val="en-US"/>
        </w:rPr>
        <w:t>2</w:t>
      </w:r>
      <w:r w:rsidRPr="007F63DD">
        <w:rPr>
          <w:rFonts w:ascii="Times New Roman" w:hAnsi="Times New Roman" w:cs="Times New Roman"/>
          <w:i/>
          <w:sz w:val="24"/>
          <w:szCs w:val="24"/>
          <w:lang w:val="en-US"/>
        </w:rPr>
        <w:t xml:space="preserve"> composites; Starbons; air treatment; volatile organic compounds.</w:t>
      </w:r>
    </w:p>
    <w:p w:rsidR="005E3465" w:rsidRPr="007F63DD" w:rsidRDefault="005E3465" w:rsidP="00F310B3">
      <w:pPr>
        <w:rPr>
          <w:rFonts w:ascii="Times New Roman" w:hAnsi="Times New Roman" w:cs="Times New Roman"/>
          <w:i/>
          <w:sz w:val="24"/>
          <w:szCs w:val="24"/>
          <w:lang w:val="en-US"/>
        </w:rPr>
      </w:pPr>
      <w:r w:rsidRPr="007F63DD">
        <w:rPr>
          <w:rFonts w:ascii="Times New Roman" w:hAnsi="Times New Roman" w:cs="Times New Roman"/>
          <w:i/>
          <w:sz w:val="24"/>
          <w:szCs w:val="24"/>
          <w:lang w:val="en-US"/>
        </w:rPr>
        <w:br w:type="page"/>
      </w:r>
    </w:p>
    <w:p w:rsidR="005E3465" w:rsidRPr="007F63DD" w:rsidRDefault="005E3465" w:rsidP="00A10647">
      <w:pPr>
        <w:pStyle w:val="Prrafodelista"/>
        <w:numPr>
          <w:ilvl w:val="0"/>
          <w:numId w:val="3"/>
        </w:numPr>
        <w:jc w:val="both"/>
        <w:rPr>
          <w:rFonts w:ascii="Times New Roman" w:hAnsi="Times New Roman" w:cs="Times New Roman"/>
          <w:b/>
          <w:sz w:val="24"/>
          <w:szCs w:val="24"/>
          <w:u w:val="single"/>
          <w:lang w:val="en-US"/>
        </w:rPr>
      </w:pPr>
      <w:r w:rsidRPr="007F63DD">
        <w:rPr>
          <w:rFonts w:ascii="Times New Roman" w:hAnsi="Times New Roman" w:cs="Times New Roman"/>
          <w:b/>
          <w:sz w:val="24"/>
          <w:szCs w:val="24"/>
          <w:lang w:val="en-US"/>
        </w:rPr>
        <w:lastRenderedPageBreak/>
        <w:t>Introduction</w:t>
      </w:r>
    </w:p>
    <w:p w:rsidR="005E3465" w:rsidRPr="007F63DD" w:rsidRDefault="005E3465" w:rsidP="00A85514">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 xml:space="preserve">Air pollution is a major environmental health problem affecting society in developed and developing countries in different ways. The current levels of air pollution are responsible of numerous diseases, including lung cancer and chronic and acute respiratory diseases, therefore posing a significant threat to health worldwide. According to the latest World Health Organization (WHO) report, air pollution causes about seven million premature deaths </w:t>
      </w:r>
      <w:r w:rsidRPr="007F63DD">
        <w:rPr>
          <w:rFonts w:ascii="Times New Roman" w:hAnsi="Times New Roman" w:cs="Times New Roman"/>
          <w:noProof/>
          <w:sz w:val="24"/>
          <w:szCs w:val="24"/>
          <w:lang w:val="en-US"/>
        </w:rPr>
        <w:t>[1]</w:t>
      </w:r>
      <w:r w:rsidRPr="007F63DD">
        <w:rPr>
          <w:rFonts w:ascii="Times New Roman" w:hAnsi="Times New Roman" w:cs="Times New Roman"/>
          <w:sz w:val="24"/>
          <w:szCs w:val="24"/>
          <w:lang w:val="en-US"/>
        </w:rPr>
        <w:t xml:space="preserve">, resulting in addition in serious economic costs. </w:t>
      </w:r>
    </w:p>
    <w:p w:rsidR="005E3465" w:rsidRPr="007F63DD" w:rsidRDefault="005E3465" w:rsidP="00B94952">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The state-of-the-art methods for pollution control are based upon adsorption, incineration, or catalytic oxidation; however, these methods have serious inherent drawbacks. The main disadvantage of the adsorption is the need for adsorbent regeneration once is fully saturated. In the case of incineration, the pollutants are oxidized to CO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and H</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O at high temperatures therefore requiring a stream of additional fuel and releasing others harmful oxidation products. This feature is minimized, to some extent, in the catalytic oxidation, since the temperature is decreased compared to incineration process. Nonetheless, temperatures above 150 ºC are usually required </w:t>
      </w:r>
      <w:r w:rsidRPr="007F63DD">
        <w:rPr>
          <w:rFonts w:ascii="Times New Roman" w:hAnsi="Times New Roman" w:cs="Times New Roman"/>
          <w:noProof/>
          <w:sz w:val="24"/>
          <w:szCs w:val="24"/>
          <w:lang w:val="en-US"/>
        </w:rPr>
        <w:t>[2]</w:t>
      </w:r>
      <w:r w:rsidRPr="007F63DD">
        <w:rPr>
          <w:rFonts w:ascii="Times New Roman" w:hAnsi="Times New Roman" w:cs="Times New Roman"/>
          <w:sz w:val="24"/>
          <w:szCs w:val="24"/>
          <w:lang w:val="en-US"/>
        </w:rPr>
        <w:t xml:space="preserve">. The use of Advanced Oxidation Technologies such as heterogeneous photocatalysis, offers a cleaner alternative for the treatment of gases under a wide range of conditions, being suitable for the abatement of a huge number of pollutants in an environmental friendly way </w:t>
      </w:r>
      <w:r w:rsidRPr="007F63DD">
        <w:rPr>
          <w:rFonts w:ascii="Times New Roman" w:hAnsi="Times New Roman" w:cs="Times New Roman"/>
          <w:noProof/>
          <w:sz w:val="24"/>
          <w:szCs w:val="24"/>
          <w:lang w:val="en-US"/>
        </w:rPr>
        <w:t>[3]</w:t>
      </w:r>
      <w:r w:rsidRPr="007F63DD">
        <w:rPr>
          <w:rFonts w:ascii="Times New Roman" w:hAnsi="Times New Roman" w:cs="Times New Roman"/>
          <w:sz w:val="24"/>
          <w:szCs w:val="24"/>
          <w:lang w:val="en-US"/>
        </w:rPr>
        <w:t xml:space="preserve">. This technology is especially attractive for the oxidation of volatile organic compounds (VOCs) precursors of the tropospheric ozone. Amongst the plethora of VOCs, formaldehyde is very important since it is responsible of the poor indoor air quality. Formaldehyde is mainly present in the construction sector, decorative elements and cleaning products </w:t>
      </w:r>
      <w:r w:rsidRPr="007F63DD">
        <w:rPr>
          <w:rFonts w:ascii="Times New Roman" w:hAnsi="Times New Roman" w:cs="Times New Roman"/>
          <w:noProof/>
          <w:sz w:val="24"/>
          <w:szCs w:val="24"/>
          <w:lang w:val="en-US"/>
        </w:rPr>
        <w:t>[4]</w:t>
      </w:r>
      <w:r w:rsidRPr="007F63DD">
        <w:rPr>
          <w:rFonts w:ascii="Times New Roman" w:hAnsi="Times New Roman" w:cs="Times New Roman"/>
          <w:sz w:val="24"/>
          <w:szCs w:val="24"/>
          <w:lang w:val="en-US"/>
        </w:rPr>
        <w:t xml:space="preserve">. Even at low levels, formaldehyde can cause irritation of skin, eyes, nose and throat. More importantly, formaldehyde has been classified by the International Agency for investigation Against Cancer (IARC) as group I carcinogenetic </w:t>
      </w:r>
      <w:r w:rsidRPr="007F63DD">
        <w:rPr>
          <w:rFonts w:ascii="Times New Roman" w:hAnsi="Times New Roman" w:cs="Times New Roman"/>
          <w:noProof/>
          <w:sz w:val="24"/>
          <w:szCs w:val="24"/>
          <w:lang w:val="en-US"/>
        </w:rPr>
        <w:t>[5]</w:t>
      </w:r>
      <w:r w:rsidRPr="007F63DD">
        <w:rPr>
          <w:rFonts w:ascii="Times New Roman" w:hAnsi="Times New Roman" w:cs="Times New Roman"/>
          <w:sz w:val="24"/>
          <w:szCs w:val="24"/>
          <w:lang w:val="en-US"/>
        </w:rPr>
        <w:t xml:space="preserve">. Trichloroethylene is a halocarbon commonly used as an industrial solvent and classified as a carcinogen R45 </w:t>
      </w:r>
      <w:r w:rsidRPr="007F63DD">
        <w:rPr>
          <w:rFonts w:ascii="Times New Roman" w:hAnsi="Times New Roman" w:cs="Times New Roman"/>
          <w:noProof/>
          <w:sz w:val="24"/>
          <w:szCs w:val="24"/>
          <w:lang w:val="en-US"/>
        </w:rPr>
        <w:t>[6]</w:t>
      </w:r>
      <w:r w:rsidRPr="007F63DD">
        <w:rPr>
          <w:rFonts w:ascii="Times New Roman" w:hAnsi="Times New Roman" w:cs="Times New Roman"/>
          <w:sz w:val="24"/>
          <w:szCs w:val="24"/>
          <w:lang w:val="en-US"/>
        </w:rPr>
        <w:t xml:space="preserve">. In addition, there are many trichloroethylene-containing products such as stains and varnishes, adhesives, typewriter correction fluids, paint removers, and cleaners to which we are exposed daily. </w:t>
      </w:r>
    </w:p>
    <w:p w:rsidR="005E3465" w:rsidRPr="007F63DD" w:rsidRDefault="005E3465" w:rsidP="00047EB5">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 xml:space="preserve">The development of Adsorbent-Photocatalyst Hybrids materials (APHs) comprising both an adsorbent and a semiconductor functions, is recognized as a suitable approach </w:t>
      </w:r>
      <w:r w:rsidRPr="007F63DD">
        <w:rPr>
          <w:rFonts w:ascii="Times New Roman" w:hAnsi="Times New Roman" w:cs="Times New Roman"/>
          <w:sz w:val="24"/>
          <w:szCs w:val="24"/>
          <w:lang w:val="en-US"/>
        </w:rPr>
        <w:lastRenderedPageBreak/>
        <w:t xml:space="preserve">for the improvement of the photocatalytic activity of bare semiconductors </w:t>
      </w:r>
      <w:r w:rsidRPr="007F63DD">
        <w:rPr>
          <w:rFonts w:ascii="Times New Roman" w:hAnsi="Times New Roman" w:cs="Times New Roman"/>
          <w:noProof/>
          <w:sz w:val="24"/>
          <w:szCs w:val="24"/>
          <w:lang w:val="en-US"/>
        </w:rPr>
        <w:t>[7, 8]</w:t>
      </w:r>
      <w:r w:rsidRPr="007F63DD">
        <w:rPr>
          <w:rFonts w:ascii="Times New Roman" w:hAnsi="Times New Roman" w:cs="Times New Roman"/>
          <w:sz w:val="24"/>
          <w:szCs w:val="24"/>
          <w:lang w:val="en-US"/>
        </w:rPr>
        <w:t>. Previous studies carried out in our group demonstrated that natural silicates or zeolite/TiO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hybrids display significantly higher photocatalytic performance for the abatement of VOCs than that of benchmark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Parameters such as photoactivity, stability, mineralization and suppression of the formation of undesired byproducts are promoted by these composites </w:t>
      </w:r>
      <w:r w:rsidRPr="007F63DD">
        <w:rPr>
          <w:rFonts w:ascii="Times New Roman" w:hAnsi="Times New Roman" w:cs="Times New Roman"/>
          <w:noProof/>
          <w:sz w:val="24"/>
          <w:szCs w:val="24"/>
          <w:lang w:val="en-US"/>
        </w:rPr>
        <w:t>[9, 10]</w:t>
      </w:r>
      <w:r w:rsidRPr="007F63DD">
        <w:rPr>
          <w:rFonts w:ascii="Times New Roman" w:hAnsi="Times New Roman" w:cs="Times New Roman"/>
          <w:sz w:val="24"/>
          <w:szCs w:val="24"/>
          <w:lang w:val="en-US"/>
        </w:rPr>
        <w:t>.</w:t>
      </w:r>
    </w:p>
    <w:p w:rsidR="005E3465" w:rsidRPr="007F63DD" w:rsidRDefault="005E3465" w:rsidP="00F214E7">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Due to properties such as high surface area, porosity and electrical conductivity, which can reduce the recombination of electron–hole pair generated in TiO</w:t>
      </w:r>
      <w:r w:rsidRPr="007F63DD">
        <w:rPr>
          <w:rFonts w:ascii="Times New Roman" w:hAnsi="Times New Roman" w:cs="Times New Roman"/>
          <w:sz w:val="24"/>
          <w:szCs w:val="24"/>
          <w:vertAlign w:val="subscript"/>
          <w:lang w:val="en-US"/>
        </w:rPr>
        <w:t xml:space="preserve">2 </w:t>
      </w:r>
      <w:r w:rsidRPr="007F63DD">
        <w:rPr>
          <w:rFonts w:ascii="Times New Roman" w:hAnsi="Times New Roman" w:cs="Times New Roman"/>
          <w:sz w:val="24"/>
          <w:szCs w:val="24"/>
          <w:lang w:val="en-US"/>
        </w:rPr>
        <w:t xml:space="preserve"> carbonaceous solids are amongst the most promising materials to preparing APHs with very high photocatalytic activity </w:t>
      </w:r>
      <w:r w:rsidRPr="007F63DD">
        <w:rPr>
          <w:rFonts w:ascii="Times New Roman" w:hAnsi="Times New Roman" w:cs="Times New Roman"/>
          <w:noProof/>
          <w:sz w:val="24"/>
          <w:szCs w:val="24"/>
          <w:lang w:val="en-US"/>
        </w:rPr>
        <w:t>[11, 12]</w:t>
      </w:r>
      <w:r w:rsidRPr="007F63DD">
        <w:rPr>
          <w:rFonts w:ascii="Times New Roman" w:hAnsi="Times New Roman" w:cs="Times New Roman"/>
          <w:sz w:val="24"/>
          <w:szCs w:val="24"/>
          <w:lang w:val="en-US"/>
        </w:rPr>
        <w:t>. Moreover, carbonaceous materials can extend the photocatalytic response of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-based APHs into the visible range of the solar spectrum </w:t>
      </w:r>
      <w:r w:rsidRPr="007F63DD">
        <w:rPr>
          <w:rFonts w:ascii="Times New Roman" w:hAnsi="Times New Roman" w:cs="Times New Roman"/>
          <w:noProof/>
          <w:sz w:val="24"/>
          <w:szCs w:val="24"/>
          <w:lang w:val="en-US"/>
        </w:rPr>
        <w:t>[13]</w:t>
      </w:r>
      <w:r w:rsidRPr="007F63DD">
        <w:rPr>
          <w:rFonts w:ascii="Times New Roman" w:hAnsi="Times New Roman" w:cs="Times New Roman"/>
          <w:sz w:val="24"/>
          <w:szCs w:val="24"/>
          <w:lang w:val="en-US"/>
        </w:rPr>
        <w:t>.</w:t>
      </w:r>
      <w:r w:rsidRPr="007F63DD">
        <w:rPr>
          <w:lang w:val="en-US"/>
        </w:rPr>
        <w:t xml:space="preserve"> </w:t>
      </w:r>
      <w:r w:rsidRPr="007F63DD">
        <w:rPr>
          <w:rFonts w:ascii="Times New Roman" w:hAnsi="Times New Roman" w:cs="Times New Roman"/>
          <w:sz w:val="24"/>
          <w:szCs w:val="24"/>
          <w:lang w:val="en-US"/>
        </w:rPr>
        <w:t>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composites have been employed in different areas including water splitting </w:t>
      </w:r>
      <w:r w:rsidRPr="007F63DD">
        <w:rPr>
          <w:rFonts w:ascii="Times New Roman" w:hAnsi="Times New Roman" w:cs="Times New Roman"/>
          <w:noProof/>
          <w:sz w:val="24"/>
          <w:szCs w:val="24"/>
          <w:lang w:val="en-US"/>
        </w:rPr>
        <w:t>[14, 15]</w:t>
      </w:r>
      <w:r w:rsidRPr="007F63DD">
        <w:rPr>
          <w:rFonts w:ascii="Times New Roman" w:hAnsi="Times New Roman" w:cs="Times New Roman"/>
          <w:sz w:val="24"/>
          <w:szCs w:val="24"/>
          <w:lang w:val="en-US"/>
        </w:rPr>
        <w:t xml:space="preserve">, disinfection </w:t>
      </w:r>
      <w:r w:rsidRPr="007F63DD">
        <w:rPr>
          <w:rFonts w:ascii="Times New Roman" w:hAnsi="Times New Roman" w:cs="Times New Roman"/>
          <w:noProof/>
          <w:sz w:val="24"/>
          <w:szCs w:val="24"/>
          <w:lang w:val="en-US"/>
        </w:rPr>
        <w:t>[16, 17]</w:t>
      </w:r>
      <w:r w:rsidRPr="007F63DD">
        <w:rPr>
          <w:rFonts w:ascii="Times New Roman" w:hAnsi="Times New Roman" w:cs="Times New Roman"/>
          <w:sz w:val="24"/>
          <w:szCs w:val="24"/>
          <w:lang w:val="en-US"/>
        </w:rPr>
        <w:t>, reduction of CO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w:t>
      </w:r>
      <w:r w:rsidRPr="007F63DD">
        <w:rPr>
          <w:rFonts w:ascii="Times New Roman" w:hAnsi="Times New Roman" w:cs="Times New Roman"/>
          <w:noProof/>
          <w:sz w:val="24"/>
          <w:szCs w:val="24"/>
          <w:lang w:val="en-US"/>
        </w:rPr>
        <w:t>[18]</w:t>
      </w:r>
      <w:r w:rsidRPr="007F63DD">
        <w:rPr>
          <w:rFonts w:ascii="Times New Roman" w:hAnsi="Times New Roman" w:cs="Times New Roman"/>
          <w:sz w:val="24"/>
          <w:szCs w:val="24"/>
          <w:lang w:val="en-US"/>
        </w:rPr>
        <w:t xml:space="preserve"> and degradation of dyes and organic pollutants in water </w:t>
      </w:r>
      <w:r w:rsidRPr="007F63DD">
        <w:rPr>
          <w:rFonts w:ascii="Times New Roman" w:hAnsi="Times New Roman" w:cs="Times New Roman"/>
          <w:noProof/>
          <w:sz w:val="24"/>
          <w:szCs w:val="24"/>
          <w:lang w:val="en-US"/>
        </w:rPr>
        <w:t>[19, 20]</w:t>
      </w:r>
      <w:r w:rsidRPr="007F63DD">
        <w:rPr>
          <w:rFonts w:ascii="Times New Roman" w:hAnsi="Times New Roman" w:cs="Times New Roman"/>
          <w:sz w:val="24"/>
          <w:szCs w:val="24"/>
          <w:lang w:val="en-US"/>
        </w:rPr>
        <w:t>. However, studies dealing with 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for air purification are less common and are focused on the photooxidation of nitric oxide, BTEX, SO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or some alcohols </w:t>
      </w:r>
      <w:r w:rsidRPr="007F63DD">
        <w:rPr>
          <w:rFonts w:ascii="Times New Roman" w:hAnsi="Times New Roman" w:cs="Times New Roman"/>
          <w:noProof/>
          <w:sz w:val="24"/>
          <w:szCs w:val="24"/>
          <w:lang w:val="en-US"/>
        </w:rPr>
        <w:t>[21, 22]</w:t>
      </w:r>
      <w:r w:rsidRPr="007F63DD">
        <w:rPr>
          <w:rFonts w:ascii="Times New Roman" w:hAnsi="Times New Roman" w:cs="Times New Roman"/>
          <w:sz w:val="24"/>
          <w:szCs w:val="24"/>
          <w:lang w:val="en-US"/>
        </w:rPr>
        <w:t>. Huang and coworkers studied the effect of the interaction between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and the carbonaceous phase for formaldehyde photo-oxidation. Authors reported an improvement of the photoactivity with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crystallite–activated carbon composites, compared to the ones obtained by the simple mixture of activated carbon and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granules </w:t>
      </w:r>
      <w:r w:rsidRPr="007F63DD">
        <w:rPr>
          <w:rFonts w:ascii="Times New Roman" w:hAnsi="Times New Roman" w:cs="Times New Roman"/>
          <w:noProof/>
          <w:sz w:val="24"/>
          <w:szCs w:val="24"/>
          <w:lang w:val="en-US"/>
        </w:rPr>
        <w:t>[23]</w:t>
      </w:r>
      <w:r w:rsidRPr="007F63DD">
        <w:rPr>
          <w:rFonts w:ascii="Times New Roman" w:hAnsi="Times New Roman" w:cs="Times New Roman"/>
          <w:sz w:val="24"/>
          <w:szCs w:val="24"/>
          <w:lang w:val="en-US"/>
        </w:rPr>
        <w:t>.</w:t>
      </w:r>
    </w:p>
    <w:p w:rsidR="005E3465" w:rsidRPr="007F63DD" w:rsidRDefault="005E3465" w:rsidP="00091581">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 xml:space="preserve">The presence of micropores in the adsorbent usually results in severe mass transfer issues, which have a negative impact in the overall performance of the APHs. This feature could be minimized by preparing APHs using mesoporous materials as the sorbent phase. Graphitized mesoporous carbons (GMCs) are promising materials for a wide range of applications. GMCs have a graphite-like structure composed of parallel graphite sheets, low amounts of functional surface groups, low fraction of imperfections and a high surface area, resulting in a high adsorption capacity and good conductivity </w:t>
      </w:r>
      <w:r w:rsidRPr="007F63DD">
        <w:rPr>
          <w:rFonts w:ascii="Times New Roman" w:hAnsi="Times New Roman" w:cs="Times New Roman"/>
          <w:noProof/>
          <w:sz w:val="24"/>
          <w:szCs w:val="24"/>
          <w:lang w:val="en-US"/>
        </w:rPr>
        <w:t>[24]</w:t>
      </w:r>
      <w:r w:rsidRPr="007F63DD">
        <w:rPr>
          <w:rFonts w:ascii="Times New Roman" w:hAnsi="Times New Roman" w:cs="Times New Roman"/>
          <w:sz w:val="24"/>
          <w:szCs w:val="24"/>
          <w:lang w:val="en-US"/>
        </w:rPr>
        <w:t xml:space="preserve">. The synthesis of GMCs requires the use of structure directing agents such as mesoporous silica insoles </w:t>
      </w:r>
      <w:r w:rsidRPr="007F63DD">
        <w:rPr>
          <w:rFonts w:ascii="Times New Roman" w:hAnsi="Times New Roman" w:cs="Times New Roman"/>
          <w:noProof/>
          <w:sz w:val="24"/>
          <w:szCs w:val="24"/>
          <w:lang w:val="en-US"/>
        </w:rPr>
        <w:t>[25]</w:t>
      </w:r>
      <w:r w:rsidRPr="007F63DD">
        <w:rPr>
          <w:rFonts w:ascii="Times New Roman" w:hAnsi="Times New Roman" w:cs="Times New Roman"/>
          <w:sz w:val="24"/>
          <w:szCs w:val="24"/>
          <w:lang w:val="en-US"/>
        </w:rPr>
        <w:t xml:space="preserve">. A new family of carbonaceous materials with high surface areas and a high fraction of mesopores has been developed recently. These carbons, referred to as Starbons (ST), are usually synthesized by using mesoporous expanded starch as precursor, without the need of using silica or other structure directing agents. The synthesis of Starbons benefits from the natural ability of the </w:t>
      </w:r>
      <w:r w:rsidRPr="007F63DD">
        <w:rPr>
          <w:rFonts w:ascii="Times New Roman" w:hAnsi="Times New Roman" w:cs="Times New Roman"/>
          <w:sz w:val="24"/>
          <w:szCs w:val="24"/>
          <w:lang w:val="en-US"/>
        </w:rPr>
        <w:lastRenderedPageBreak/>
        <w:t xml:space="preserve">amylose polymer and the amylopectin starch chains to assemble into organized structures, giving rise to mesoporous carbons with modular hydrophobicity </w:t>
      </w:r>
      <w:r w:rsidRPr="007F63DD">
        <w:rPr>
          <w:rFonts w:ascii="Times New Roman" w:hAnsi="Times New Roman" w:cs="Times New Roman"/>
          <w:noProof/>
          <w:sz w:val="24"/>
          <w:szCs w:val="24"/>
          <w:lang w:val="en-US"/>
        </w:rPr>
        <w:t>[26]</w:t>
      </w:r>
      <w:r w:rsidRPr="007F63DD">
        <w:rPr>
          <w:rFonts w:ascii="Times New Roman" w:hAnsi="Times New Roman" w:cs="Times New Roman"/>
          <w:sz w:val="24"/>
          <w:szCs w:val="24"/>
          <w:lang w:val="en-US"/>
        </w:rPr>
        <w:t>. Therefore, the Starbon/TiO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hybrids may display a high surface area with a high degree of mesoporosity, which can remediate internal mas transfer issues. Thus, these materials are ideal adsorbents to synthetize AHPs composites </w:t>
      </w:r>
      <w:r w:rsidRPr="007F63DD">
        <w:rPr>
          <w:rFonts w:ascii="Times New Roman" w:hAnsi="Times New Roman" w:cs="Times New Roman"/>
          <w:noProof/>
          <w:sz w:val="24"/>
          <w:szCs w:val="24"/>
          <w:lang w:val="en-US"/>
        </w:rPr>
        <w:t>[27]</w:t>
      </w:r>
      <w:r w:rsidRPr="007F63DD">
        <w:rPr>
          <w:rFonts w:ascii="Times New Roman" w:hAnsi="Times New Roman" w:cs="Times New Roman"/>
          <w:sz w:val="24"/>
          <w:szCs w:val="24"/>
          <w:lang w:val="en-US"/>
        </w:rPr>
        <w:t>. Although there are numerous studies in the literature reporting the properties of carbonaceous/TiO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materials, a comparative analysis of the photocatalytic performance of carbons of different nature is yet required.</w:t>
      </w:r>
    </w:p>
    <w:p w:rsidR="005E3465" w:rsidRPr="007F63DD" w:rsidRDefault="005E3465" w:rsidP="00091581">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Different methods for the synthesis of 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composites have been reported, including physical vapor deposition (PVD), chemical vapor deposition (CVD), electrophoretic deposition (EPD), hydrothermal synthesis or the sol–gel technology </w:t>
      </w:r>
      <w:r w:rsidRPr="007F63DD">
        <w:rPr>
          <w:rFonts w:ascii="Times New Roman" w:hAnsi="Times New Roman" w:cs="Times New Roman"/>
          <w:noProof/>
          <w:sz w:val="24"/>
          <w:szCs w:val="24"/>
          <w:lang w:val="en-US"/>
        </w:rPr>
        <w:t>[28-30]</w:t>
      </w:r>
      <w:r w:rsidRPr="007F63DD">
        <w:rPr>
          <w:rFonts w:ascii="Times New Roman" w:hAnsi="Times New Roman" w:cs="Times New Roman"/>
          <w:sz w:val="24"/>
          <w:szCs w:val="24"/>
          <w:lang w:val="en-US"/>
        </w:rPr>
        <w:t>. Although these methods result in the formation of interfaces between both components of the APHs, these synthetic routes are usually complex and the costs of the precursor materials and of the equipment can be high.</w:t>
      </w:r>
      <w:r w:rsidRPr="007F63DD">
        <w:rPr>
          <w:lang w:val="en-US"/>
        </w:rPr>
        <w:t xml:space="preserve"> </w:t>
      </w:r>
      <w:r w:rsidRPr="007F63DD">
        <w:rPr>
          <w:rFonts w:ascii="Times New Roman" w:hAnsi="Times New Roman" w:cs="Times New Roman"/>
          <w:sz w:val="24"/>
          <w:szCs w:val="24"/>
          <w:lang w:val="en-US"/>
        </w:rPr>
        <w:t xml:space="preserve">Other authors have opted for the incorporation of the carbonaceous materials directly into the reactor system, generally suspended the material in the aqueous phase </w:t>
      </w:r>
      <w:r w:rsidRPr="007F63DD">
        <w:rPr>
          <w:rFonts w:ascii="Times New Roman" w:hAnsi="Times New Roman" w:cs="Times New Roman"/>
          <w:noProof/>
          <w:sz w:val="24"/>
          <w:szCs w:val="24"/>
          <w:lang w:val="en-US"/>
        </w:rPr>
        <w:t>[31]</w:t>
      </w:r>
      <w:r w:rsidRPr="007F63DD">
        <w:rPr>
          <w:rFonts w:ascii="Times New Roman" w:hAnsi="Times New Roman" w:cs="Times New Roman"/>
          <w:sz w:val="24"/>
          <w:szCs w:val="24"/>
          <w:lang w:val="en-US"/>
        </w:rPr>
        <w:t>. A previous study in our group about the synthesis of ZSM-5/TiO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hybrids unveiled the importance of the preparation method in the final photocatalytic properties of the APHs </w:t>
      </w:r>
      <w:r w:rsidRPr="007F63DD">
        <w:rPr>
          <w:rFonts w:ascii="Times New Roman" w:hAnsi="Times New Roman" w:cs="Times New Roman"/>
          <w:noProof/>
          <w:sz w:val="24"/>
          <w:szCs w:val="24"/>
          <w:lang w:val="en-US"/>
        </w:rPr>
        <w:t>[10]</w:t>
      </w:r>
      <w:r w:rsidRPr="007F63DD">
        <w:rPr>
          <w:rFonts w:ascii="Times New Roman" w:hAnsi="Times New Roman" w:cs="Times New Roman"/>
          <w:sz w:val="24"/>
          <w:szCs w:val="24"/>
          <w:lang w:val="en-US"/>
        </w:rPr>
        <w:t>. The ZSM-5/TiO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composites were successfully prepared either by incipient wet impregnation starting from a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sol, or by mechanical mixing of the commercially available materials. The arrangement of the two phases in the photocatalyst should be optimized, reaching a maximum advantage of the adsorption and photocatalytic features. </w:t>
      </w:r>
    </w:p>
    <w:p w:rsidR="005E3465" w:rsidRPr="007F63DD" w:rsidRDefault="005E3465" w:rsidP="00600796">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Based on those considerations, the objective of this work is to study the influence of the carbonaceous material nature selected as adsorbents for the incorporation of the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phase and its relevance for the photocatalytic performance in the abatement of model VOCs in air streams at demanding operating conditions. </w:t>
      </w:r>
    </w:p>
    <w:p w:rsidR="005E3465" w:rsidRPr="007F63DD" w:rsidRDefault="005E3465">
      <w:pPr>
        <w:rPr>
          <w:rFonts w:ascii="Times New Roman" w:hAnsi="Times New Roman" w:cs="Times New Roman"/>
          <w:sz w:val="24"/>
          <w:szCs w:val="24"/>
          <w:lang w:val="en-US"/>
        </w:rPr>
      </w:pPr>
      <w:r w:rsidRPr="007F63DD">
        <w:rPr>
          <w:rFonts w:ascii="Times New Roman" w:hAnsi="Times New Roman" w:cs="Times New Roman"/>
          <w:sz w:val="24"/>
          <w:szCs w:val="24"/>
          <w:lang w:val="en-US"/>
        </w:rPr>
        <w:br w:type="page"/>
      </w:r>
    </w:p>
    <w:p w:rsidR="005E3465" w:rsidRPr="007F63DD" w:rsidRDefault="005E3465" w:rsidP="0077173E">
      <w:pPr>
        <w:pStyle w:val="Prrafodelista"/>
        <w:numPr>
          <w:ilvl w:val="0"/>
          <w:numId w:val="3"/>
        </w:numPr>
        <w:spacing w:line="360" w:lineRule="auto"/>
        <w:jc w:val="both"/>
        <w:rPr>
          <w:rFonts w:ascii="Times New Roman" w:hAnsi="Times New Roman" w:cs="Times New Roman"/>
          <w:b/>
          <w:sz w:val="24"/>
          <w:szCs w:val="24"/>
          <w:lang w:val="en-US"/>
        </w:rPr>
      </w:pPr>
      <w:r w:rsidRPr="007F63DD">
        <w:rPr>
          <w:rFonts w:ascii="Times New Roman" w:hAnsi="Times New Roman" w:cs="Times New Roman"/>
          <w:b/>
          <w:sz w:val="24"/>
          <w:szCs w:val="24"/>
          <w:lang w:val="en-US"/>
        </w:rPr>
        <w:lastRenderedPageBreak/>
        <w:t xml:space="preserve">Experimental </w:t>
      </w:r>
    </w:p>
    <w:p w:rsidR="005E3465" w:rsidRPr="007F63DD" w:rsidRDefault="005E3465" w:rsidP="00F310B3">
      <w:pPr>
        <w:spacing w:line="360" w:lineRule="auto"/>
        <w:jc w:val="both"/>
        <w:rPr>
          <w:rFonts w:ascii="Times New Roman" w:hAnsi="Times New Roman" w:cs="Times New Roman"/>
          <w:i/>
          <w:sz w:val="24"/>
          <w:szCs w:val="24"/>
          <w:lang w:val="en-US"/>
        </w:rPr>
      </w:pPr>
      <w:r w:rsidRPr="007F63DD">
        <w:rPr>
          <w:rFonts w:ascii="Times New Roman" w:hAnsi="Times New Roman" w:cs="Times New Roman"/>
          <w:i/>
          <w:sz w:val="24"/>
          <w:szCs w:val="24"/>
          <w:lang w:val="en-US"/>
        </w:rPr>
        <w:t>2.1. Preparation of APHs</w:t>
      </w:r>
    </w:p>
    <w:p w:rsidR="005E3465" w:rsidRPr="007F63DD" w:rsidRDefault="005E3465" w:rsidP="00235BDD">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Three commercial carbonaceous materials namely, Graphitized Mesoporous Carbon from (GMC 699624- Aldrich) referred to as C</w:t>
      </w:r>
      <w:r w:rsidRPr="007F63DD">
        <w:rPr>
          <w:rFonts w:ascii="Times New Roman" w:hAnsi="Times New Roman" w:cs="Times New Roman"/>
          <w:sz w:val="24"/>
          <w:szCs w:val="24"/>
          <w:vertAlign w:val="subscript"/>
          <w:lang w:val="en-US"/>
        </w:rPr>
        <w:t>1</w:t>
      </w:r>
      <w:r w:rsidRPr="007F63DD">
        <w:rPr>
          <w:rFonts w:ascii="Times New Roman" w:hAnsi="Times New Roman" w:cs="Times New Roman"/>
          <w:sz w:val="24"/>
          <w:szCs w:val="24"/>
          <w:lang w:val="en-US"/>
        </w:rPr>
        <w:t>, hydrophilic mesoporous carbon (</w:t>
      </w:r>
      <w:r w:rsidRPr="007F63DD">
        <w:rPr>
          <w:rFonts w:ascii="Times New Roman" w:hAnsi="Times New Roman" w:cs="Times New Roman"/>
          <w:bCs/>
          <w:sz w:val="24"/>
          <w:szCs w:val="24"/>
          <w:lang w:val="en-GB"/>
        </w:rPr>
        <w:t xml:space="preserve">Starbon™ 300) referred to as </w:t>
      </w:r>
      <w:r w:rsidRPr="007F63DD">
        <w:rPr>
          <w:rFonts w:ascii="Times New Roman" w:hAnsi="Times New Roman" w:cs="Times New Roman"/>
          <w:sz w:val="24"/>
          <w:szCs w:val="24"/>
          <w:lang w:val="en-US"/>
        </w:rPr>
        <w:t>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and hydrophobic graphitized mesoporous </w:t>
      </w:r>
      <w:r w:rsidRPr="007F63DD">
        <w:rPr>
          <w:rFonts w:ascii="Times New Roman" w:hAnsi="Times New Roman" w:cs="Times New Roman"/>
          <w:bCs/>
          <w:sz w:val="24"/>
          <w:szCs w:val="24"/>
          <w:lang w:val="en-GB"/>
        </w:rPr>
        <w:t>carbon (</w:t>
      </w:r>
      <w:r w:rsidRPr="007F63DD">
        <w:rPr>
          <w:rFonts w:ascii="Times New Roman" w:hAnsi="Times New Roman" w:cs="Times New Roman"/>
          <w:sz w:val="24"/>
          <w:szCs w:val="24"/>
          <w:lang w:val="en-GB"/>
        </w:rPr>
        <w:t>Starbon™ 800)</w:t>
      </w:r>
      <w:r w:rsidRPr="007F63DD">
        <w:rPr>
          <w:rFonts w:ascii="Times New Roman" w:hAnsi="Times New Roman" w:cs="Times New Roman"/>
          <w:b/>
          <w:sz w:val="24"/>
          <w:szCs w:val="24"/>
          <w:lang w:val="en-GB"/>
        </w:rPr>
        <w:t xml:space="preserve"> </w:t>
      </w:r>
      <w:r w:rsidRPr="007F63DD">
        <w:rPr>
          <w:rFonts w:ascii="Times New Roman" w:hAnsi="Times New Roman" w:cs="Times New Roman"/>
          <w:bCs/>
          <w:sz w:val="24"/>
          <w:szCs w:val="24"/>
          <w:lang w:val="en-GB"/>
        </w:rPr>
        <w:t>referred to as</w:t>
      </w:r>
      <w:r w:rsidRPr="007F63DD">
        <w:rPr>
          <w:rFonts w:ascii="Times New Roman" w:hAnsi="Times New Roman" w:cs="Times New Roman"/>
          <w:sz w:val="24"/>
          <w:szCs w:val="24"/>
          <w:lang w:val="en-GB"/>
        </w:rPr>
        <w:t xml:space="preserve">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US"/>
        </w:rPr>
        <w:t xml:space="preserve"> have been used for the synthesis of the 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APHs. An activated charcoal from wood chemically activated powder (Norit, named AC) was used as a reference microporous material. Hybrid materials were prepared by two methods: i) incipient wet impregnation of a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sol onto the mesoporous carbon and ii) mechanical mixture of the mesoporous carbon with commercial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The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sol was synthesized by following a method described elsewhere </w:t>
      </w:r>
      <w:r w:rsidRPr="007F63DD">
        <w:rPr>
          <w:rFonts w:ascii="Times New Roman" w:hAnsi="Times New Roman" w:cs="Times New Roman"/>
          <w:noProof/>
          <w:sz w:val="24"/>
          <w:szCs w:val="24"/>
          <w:lang w:val="en-US"/>
        </w:rPr>
        <w:t>[32, 33]</w:t>
      </w:r>
      <w:r w:rsidRPr="007F63DD">
        <w:rPr>
          <w:rFonts w:ascii="Times New Roman" w:hAnsi="Times New Roman" w:cs="Times New Roman"/>
          <w:sz w:val="24"/>
          <w:szCs w:val="24"/>
          <w:lang w:val="en-US"/>
        </w:rPr>
        <w:t>. Briefly, the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sol was synthesized by adding titanium isopropoxide dropwise (titanium (IV) isopropoxide, TIP, 97%, Sigma Aldrich) into an aqueous solution of nitric acid to a final volumetric ratio of 900:6.5:74 (H</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O:HNO</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:TIP). The resulting suspension was stirred for 3 days at room temperature until peptization was completed and dialyzed to a final pH of 3.0. A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xerogel was obtained by evaporation and drying of the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sol, and treated at 350</w:t>
      </w:r>
      <w:r w:rsidRPr="007F63DD">
        <w:rPr>
          <w:rFonts w:ascii="Times New Roman" w:hAnsi="Times New Roman" w:cs="Times New Roman"/>
          <w:sz w:val="24"/>
          <w:szCs w:val="24"/>
          <w:lang w:val="en-US"/>
        </w:rPr>
        <w:sym w:font="Symbol" w:char="F0B0"/>
      </w:r>
      <w:r w:rsidRPr="007F63DD">
        <w:rPr>
          <w:rFonts w:ascii="Times New Roman" w:hAnsi="Times New Roman" w:cs="Times New Roman"/>
          <w:sz w:val="24"/>
          <w:szCs w:val="24"/>
          <w:lang w:val="en-US"/>
        </w:rPr>
        <w:t>C during 3 h. For economic reasons and simplicity in the preparation method, commercial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-anatase</w:t>
      </w:r>
      <w:r w:rsidRPr="007F63DD">
        <w:rPr>
          <w:rFonts w:ascii="Times New Roman" w:hAnsi="Times New Roman" w:cs="Times New Roman"/>
          <w:sz w:val="24"/>
          <w:szCs w:val="24"/>
          <w:vertAlign w:val="subscript"/>
          <w:lang w:val="en-US"/>
        </w:rPr>
        <w:t xml:space="preserve"> </w:t>
      </w:r>
      <w:r w:rsidRPr="007F63DD">
        <w:rPr>
          <w:rFonts w:ascii="Times New Roman" w:hAnsi="Times New Roman" w:cs="Times New Roman"/>
          <w:sz w:val="24"/>
          <w:szCs w:val="24"/>
          <w:lang w:val="en-US"/>
        </w:rPr>
        <w:t>powder (G-5 Millenium) with a surface area of 320 m</w:t>
      </w:r>
      <w:r w:rsidRPr="007F63DD">
        <w:rPr>
          <w:rFonts w:ascii="Times New Roman" w:hAnsi="Times New Roman" w:cs="Times New Roman"/>
          <w:sz w:val="24"/>
          <w:szCs w:val="24"/>
          <w:vertAlign w:val="superscript"/>
          <w:lang w:val="en-US"/>
        </w:rPr>
        <w:t>2</w:t>
      </w:r>
      <w:r w:rsidRPr="007F63DD">
        <w:rPr>
          <w:rFonts w:ascii="Times New Roman" w:hAnsi="Times New Roman" w:cs="Times New Roman"/>
          <w:sz w:val="24"/>
          <w:szCs w:val="24"/>
          <w:lang w:val="en-US"/>
        </w:rPr>
        <w:t xml:space="preserve"> g</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xml:space="preserve"> was selected for the mechanical mixing procedure. </w:t>
      </w:r>
    </w:p>
    <w:p w:rsidR="005E3465" w:rsidRPr="007F63DD" w:rsidRDefault="005E3465" w:rsidP="00DB4C0F">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For the preparation of the 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based composites by </w:t>
      </w:r>
      <w:r w:rsidRPr="007F63DD">
        <w:rPr>
          <w:rFonts w:ascii="Times New Roman" w:hAnsi="Times New Roman" w:cs="Times New Roman"/>
          <w:i/>
          <w:sz w:val="24"/>
          <w:szCs w:val="24"/>
          <w:lang w:val="en-US"/>
        </w:rPr>
        <w:t>incipient wet impregnation</w:t>
      </w:r>
      <w:r w:rsidRPr="007F63DD">
        <w:rPr>
          <w:rFonts w:ascii="Times New Roman" w:hAnsi="Times New Roman" w:cs="Times New Roman"/>
          <w:sz w:val="24"/>
          <w:szCs w:val="24"/>
          <w:lang w:val="en-US"/>
        </w:rPr>
        <w:t xml:space="preserve"> (C</w:t>
      </w:r>
      <w:r w:rsidRPr="007F63DD">
        <w:rPr>
          <w:rFonts w:ascii="Times New Roman" w:hAnsi="Times New Roman" w:cs="Times New Roman"/>
          <w:sz w:val="24"/>
          <w:szCs w:val="24"/>
          <w:vertAlign w:val="subscript"/>
          <w:lang w:val="en-US"/>
        </w:rPr>
        <w:t>x</w:t>
      </w:r>
      <w:r w:rsidRPr="007F63DD">
        <w:rPr>
          <w:rFonts w:ascii="Times New Roman" w:hAnsi="Times New Roman" w:cs="Times New Roman"/>
          <w:sz w:val="24"/>
          <w:szCs w:val="24"/>
          <w:lang w:val="en-US"/>
        </w:rPr>
        <w:t>Ti-</w:t>
      </w:r>
      <w:r w:rsidRPr="007F63DD">
        <w:rPr>
          <w:rFonts w:ascii="Times New Roman" w:hAnsi="Times New Roman" w:cs="Times New Roman"/>
          <w:i/>
          <w:sz w:val="24"/>
          <w:szCs w:val="24"/>
          <w:lang w:val="en-US"/>
        </w:rPr>
        <w:t>i</w:t>
      </w:r>
      <w:r w:rsidRPr="007F63DD">
        <w:rPr>
          <w:rFonts w:ascii="Times New Roman" w:hAnsi="Times New Roman" w:cs="Times New Roman"/>
          <w:sz w:val="24"/>
          <w:szCs w:val="24"/>
          <w:lang w:val="en-US"/>
        </w:rPr>
        <w:t>), a fixed volume of the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sol was added dropwise onto the adsorbent. The total volume of the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sol added in each step was calculated by taking into account the total pore volume of the carbons. The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loading on the hybrids was set to 8 wt.%, which, is the optimum loading as reported in previous studies </w:t>
      </w:r>
      <w:r w:rsidRPr="007F63DD">
        <w:rPr>
          <w:rFonts w:ascii="Times New Roman" w:hAnsi="Times New Roman" w:cs="Times New Roman"/>
          <w:noProof/>
          <w:sz w:val="24"/>
          <w:szCs w:val="24"/>
          <w:lang w:val="en-US"/>
        </w:rPr>
        <w:t>[10]</w:t>
      </w:r>
      <w:r w:rsidRPr="007F63DD">
        <w:rPr>
          <w:rFonts w:ascii="Times New Roman" w:hAnsi="Times New Roman" w:cs="Times New Roman"/>
          <w:sz w:val="24"/>
          <w:szCs w:val="24"/>
          <w:lang w:val="en-US"/>
        </w:rPr>
        <w:t>. To achieve this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loading, several impregnation steps were required. After each impregnation process, the samples were thermally treated at 100</w:t>
      </w:r>
      <w:r w:rsidRPr="007F63DD">
        <w:rPr>
          <w:rFonts w:ascii="Times New Roman" w:hAnsi="Times New Roman" w:cs="Times New Roman"/>
          <w:sz w:val="24"/>
          <w:szCs w:val="24"/>
          <w:lang w:val="en-US"/>
        </w:rPr>
        <w:sym w:font="Symbol" w:char="F0B0"/>
      </w:r>
      <w:r w:rsidRPr="007F63DD">
        <w:rPr>
          <w:rFonts w:ascii="Times New Roman" w:hAnsi="Times New Roman" w:cs="Times New Roman"/>
          <w:sz w:val="24"/>
          <w:szCs w:val="24"/>
          <w:lang w:val="en-US"/>
        </w:rPr>
        <w:t xml:space="preserve">C for 1 h in air. In the </w:t>
      </w:r>
      <w:r w:rsidRPr="007F63DD">
        <w:rPr>
          <w:rFonts w:ascii="Times New Roman" w:hAnsi="Times New Roman" w:cs="Times New Roman"/>
          <w:i/>
          <w:sz w:val="24"/>
          <w:szCs w:val="24"/>
          <w:lang w:val="en-US"/>
        </w:rPr>
        <w:t>mechanical mixing method</w:t>
      </w:r>
      <w:r w:rsidRPr="007F63DD">
        <w:rPr>
          <w:rFonts w:ascii="Times New Roman" w:hAnsi="Times New Roman" w:cs="Times New Roman"/>
          <w:sz w:val="24"/>
          <w:szCs w:val="24"/>
          <w:lang w:val="en-US"/>
        </w:rPr>
        <w:t>, commercial carbonaceous materials were grounded and mixed with commercial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G-5 powders. A certain content of a nitric acid solution was added into the 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mixture to obtain the slurry with optimum rheological properties to be extruded. Finally, the samples were extruded into cylinders with a syringe. The optimum amount of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in the samples was set to 50 wt.% according to previous studies </w:t>
      </w:r>
      <w:r w:rsidRPr="007F63DD">
        <w:rPr>
          <w:rFonts w:ascii="Times New Roman" w:hAnsi="Times New Roman" w:cs="Times New Roman"/>
          <w:noProof/>
          <w:sz w:val="24"/>
          <w:szCs w:val="24"/>
          <w:lang w:val="en-US"/>
        </w:rPr>
        <w:t>[34]</w:t>
      </w:r>
      <w:r w:rsidRPr="007F63DD">
        <w:rPr>
          <w:rFonts w:ascii="Times New Roman" w:hAnsi="Times New Roman" w:cs="Times New Roman"/>
          <w:sz w:val="24"/>
          <w:szCs w:val="24"/>
          <w:lang w:val="en-US"/>
        </w:rPr>
        <w:t xml:space="preserve">. With the aim of removing the solvent from the preparation process, all </w:t>
      </w:r>
      <w:r w:rsidRPr="007F63DD">
        <w:rPr>
          <w:rFonts w:ascii="Times New Roman" w:hAnsi="Times New Roman" w:cs="Times New Roman"/>
          <w:sz w:val="24"/>
          <w:szCs w:val="24"/>
          <w:lang w:val="en-US"/>
        </w:rPr>
        <w:lastRenderedPageBreak/>
        <w:t>samples were thermally treated between 200-350ºC; the actual temperature was identified from the TGA-DTA analyses of the samples (SI-Fig. 1).</w:t>
      </w:r>
    </w:p>
    <w:p w:rsidR="005E3465" w:rsidRPr="007F63DD" w:rsidRDefault="005E3465" w:rsidP="000B5CD7">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Samples were named as C</w:t>
      </w:r>
      <w:r w:rsidRPr="007F63DD">
        <w:rPr>
          <w:rFonts w:ascii="Times New Roman" w:hAnsi="Times New Roman" w:cs="Times New Roman"/>
          <w:sz w:val="24"/>
          <w:szCs w:val="24"/>
          <w:vertAlign w:val="subscript"/>
          <w:lang w:val="en-US"/>
        </w:rPr>
        <w:t>x</w:t>
      </w:r>
      <w:r w:rsidRPr="007F63DD">
        <w:rPr>
          <w:rFonts w:ascii="Times New Roman" w:hAnsi="Times New Roman" w:cs="Times New Roman"/>
          <w:sz w:val="24"/>
          <w:szCs w:val="24"/>
          <w:lang w:val="en-US"/>
        </w:rPr>
        <w:t>Ti-</w:t>
      </w:r>
      <w:r w:rsidRPr="007F63DD">
        <w:rPr>
          <w:rFonts w:ascii="Times New Roman" w:hAnsi="Times New Roman" w:cs="Times New Roman"/>
          <w:i/>
          <w:sz w:val="24"/>
          <w:szCs w:val="24"/>
          <w:lang w:val="en-US"/>
        </w:rPr>
        <w:t>y</w:t>
      </w:r>
      <w:r w:rsidRPr="007F63DD">
        <w:rPr>
          <w:rFonts w:ascii="Times New Roman" w:hAnsi="Times New Roman" w:cs="Times New Roman"/>
          <w:sz w:val="24"/>
          <w:szCs w:val="24"/>
          <w:lang w:val="en-US"/>
        </w:rPr>
        <w:t xml:space="preserve"> where C</w:t>
      </w:r>
      <w:r w:rsidRPr="007F63DD">
        <w:rPr>
          <w:rFonts w:ascii="Times New Roman" w:hAnsi="Times New Roman" w:cs="Times New Roman"/>
          <w:sz w:val="24"/>
          <w:szCs w:val="24"/>
          <w:vertAlign w:val="subscript"/>
          <w:lang w:val="en-US"/>
        </w:rPr>
        <w:t>x</w:t>
      </w:r>
      <w:r w:rsidRPr="007F63DD">
        <w:rPr>
          <w:rFonts w:ascii="Times New Roman" w:hAnsi="Times New Roman" w:cs="Times New Roman"/>
          <w:sz w:val="24"/>
          <w:szCs w:val="24"/>
          <w:lang w:val="en-US"/>
        </w:rPr>
        <w:t xml:space="preserve"> indicates the type of carbonaceous material selected (x = 1-3 or AC for activated carbon), and -</w:t>
      </w:r>
      <w:r w:rsidRPr="007F63DD">
        <w:rPr>
          <w:rFonts w:ascii="Times New Roman" w:hAnsi="Times New Roman" w:cs="Times New Roman"/>
          <w:i/>
          <w:sz w:val="24"/>
          <w:szCs w:val="24"/>
          <w:lang w:val="en-US"/>
        </w:rPr>
        <w:t>y</w:t>
      </w:r>
      <w:r w:rsidRPr="007F63DD">
        <w:rPr>
          <w:rFonts w:ascii="Times New Roman" w:hAnsi="Times New Roman" w:cs="Times New Roman"/>
          <w:sz w:val="24"/>
          <w:szCs w:val="24"/>
          <w:lang w:val="en-US"/>
        </w:rPr>
        <w:t xml:space="preserve"> indicates the preparation method (-</w:t>
      </w:r>
      <w:r w:rsidRPr="007F63DD">
        <w:rPr>
          <w:rFonts w:ascii="Times New Roman" w:hAnsi="Times New Roman" w:cs="Times New Roman"/>
          <w:i/>
          <w:sz w:val="24"/>
          <w:szCs w:val="24"/>
          <w:lang w:val="en-US"/>
        </w:rPr>
        <w:t>i</w:t>
      </w:r>
      <w:r w:rsidRPr="007F63DD">
        <w:rPr>
          <w:rFonts w:ascii="Times New Roman" w:hAnsi="Times New Roman" w:cs="Times New Roman"/>
          <w:sz w:val="24"/>
          <w:szCs w:val="24"/>
          <w:lang w:val="en-US"/>
        </w:rPr>
        <w:t>: for incipient impregnation method, -</w:t>
      </w:r>
      <w:r w:rsidRPr="007F63DD">
        <w:rPr>
          <w:rFonts w:ascii="Times New Roman" w:hAnsi="Times New Roman" w:cs="Times New Roman"/>
          <w:i/>
          <w:sz w:val="24"/>
          <w:szCs w:val="24"/>
          <w:lang w:val="en-US"/>
        </w:rPr>
        <w:t>m</w:t>
      </w:r>
      <w:r w:rsidRPr="007F63DD">
        <w:rPr>
          <w:rFonts w:ascii="Times New Roman" w:hAnsi="Times New Roman" w:cs="Times New Roman"/>
          <w:sz w:val="24"/>
          <w:szCs w:val="24"/>
          <w:lang w:val="en-US"/>
        </w:rPr>
        <w:t xml:space="preserve"> for mechanical mixture). The main characteristics along with the textural properties and HCHO or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adsorption ability of the materials under study are shown in Table 1. </w:t>
      </w:r>
    </w:p>
    <w:p w:rsidR="005E3465" w:rsidRPr="007F63DD" w:rsidRDefault="005E3465" w:rsidP="00F310B3">
      <w:pPr>
        <w:tabs>
          <w:tab w:val="left" w:pos="688"/>
        </w:tabs>
        <w:rPr>
          <w:rFonts w:ascii="Times New Roman" w:hAnsi="Times New Roman" w:cs="Times New Roman"/>
          <w:i/>
          <w:sz w:val="24"/>
          <w:szCs w:val="24"/>
          <w:lang w:val="en-US"/>
        </w:rPr>
      </w:pPr>
      <w:r w:rsidRPr="007F63DD">
        <w:rPr>
          <w:rFonts w:ascii="Times New Roman" w:hAnsi="Times New Roman" w:cs="Times New Roman"/>
          <w:i/>
          <w:sz w:val="24"/>
          <w:szCs w:val="24"/>
          <w:lang w:val="en-US"/>
        </w:rPr>
        <w:t>2.2. Characterization techniques</w:t>
      </w:r>
    </w:p>
    <w:p w:rsidR="005E3465" w:rsidRPr="007F63DD" w:rsidRDefault="005E3465" w:rsidP="00781470">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 xml:space="preserve">The APHs synthesized in this work, and the raw materials were characterized by different analytical techniques. The </w:t>
      </w:r>
      <w:r w:rsidRPr="007F63DD">
        <w:rPr>
          <w:rFonts w:ascii="Times New Roman" w:hAnsi="Times New Roman" w:cs="Times New Roman"/>
          <w:i/>
          <w:sz w:val="24"/>
          <w:szCs w:val="24"/>
          <w:lang w:val="en-US"/>
        </w:rPr>
        <w:t>nitrogen adsorption-desorption isotherms</w:t>
      </w:r>
      <w:r w:rsidRPr="007F63DD">
        <w:rPr>
          <w:rFonts w:ascii="Times New Roman" w:hAnsi="Times New Roman" w:cs="Times New Roman"/>
          <w:sz w:val="24"/>
          <w:szCs w:val="24"/>
          <w:lang w:val="en-US"/>
        </w:rPr>
        <w:t xml:space="preserve"> were measured with a Micromeritics Asap 2420 Analyzer at -196</w:t>
      </w:r>
      <w:r w:rsidRPr="007F63DD">
        <w:rPr>
          <w:rFonts w:ascii="Times New Roman" w:hAnsi="Times New Roman" w:cs="Times New Roman"/>
          <w:sz w:val="24"/>
          <w:szCs w:val="24"/>
          <w:lang w:val="en-US"/>
        </w:rPr>
        <w:sym w:font="Symbol" w:char="F0B0"/>
      </w:r>
      <w:r w:rsidRPr="007F63DD">
        <w:rPr>
          <w:rFonts w:ascii="Times New Roman" w:hAnsi="Times New Roman" w:cs="Times New Roman"/>
          <w:sz w:val="24"/>
          <w:szCs w:val="24"/>
          <w:lang w:val="en-US"/>
        </w:rPr>
        <w:t>C. Before measurement, the samples were outgassed at 120-250 °C to a pressure of &lt; 1.33·10</w:t>
      </w:r>
      <w:r w:rsidRPr="007F63DD">
        <w:rPr>
          <w:rFonts w:ascii="Times New Roman" w:hAnsi="Times New Roman" w:cs="Times New Roman"/>
          <w:sz w:val="24"/>
          <w:szCs w:val="24"/>
          <w:vertAlign w:val="superscript"/>
          <w:lang w:val="en-US"/>
        </w:rPr>
        <w:t>2</w:t>
      </w:r>
      <w:r w:rsidRPr="007F63DD">
        <w:rPr>
          <w:rFonts w:ascii="Times New Roman" w:hAnsi="Times New Roman" w:cs="Times New Roman"/>
          <w:sz w:val="24"/>
          <w:szCs w:val="24"/>
          <w:lang w:val="en-US"/>
        </w:rPr>
        <w:t xml:space="preserve"> Pa overnight to remove the adsorbed water. The BET surface areas were calculated using the Brunauer–Emmett–Teller method, the average pore volume was measured using t-plot analysis and the pore size distribution was measured by using Barrett–Joyner–Halenda (BJH) analysis from the desorption branches of nitrogen isotherms. Micropore volume and mean pore size were calculated from the N</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adsorption-desorption isotherms. The desorption branch at low partial pressure range (</w:t>
      </w:r>
      <w:r w:rsidRPr="007F63DD">
        <w:rPr>
          <w:rFonts w:ascii="Times New Roman" w:hAnsi="Times New Roman" w:cs="Times New Roman"/>
          <w:i/>
          <w:sz w:val="24"/>
          <w:szCs w:val="24"/>
          <w:lang w:val="en-US"/>
        </w:rPr>
        <w:t>P/P</w:t>
      </w:r>
      <w:r w:rsidRPr="007F63DD">
        <w:rPr>
          <w:rFonts w:ascii="Times New Roman" w:hAnsi="Times New Roman" w:cs="Times New Roman"/>
          <w:i/>
          <w:sz w:val="24"/>
          <w:szCs w:val="24"/>
          <w:vertAlign w:val="subscript"/>
          <w:lang w:val="en-US"/>
        </w:rPr>
        <w:t>0</w:t>
      </w:r>
      <w:r w:rsidRPr="007F63DD">
        <w:rPr>
          <w:rFonts w:ascii="Times New Roman" w:hAnsi="Times New Roman" w:cs="Times New Roman"/>
          <w:sz w:val="24"/>
          <w:szCs w:val="24"/>
          <w:lang w:val="en-US"/>
        </w:rPr>
        <w:t xml:space="preserve"> = 0- 0.1) and DFT calculation were selected. Mesoporous contribution has been calculated using BJH analysis. Similar results were obtained with the DR methodology. </w:t>
      </w:r>
    </w:p>
    <w:p w:rsidR="005E3465" w:rsidRPr="007F63DD" w:rsidRDefault="005E3465" w:rsidP="008D06EF">
      <w:pPr>
        <w:spacing w:line="360" w:lineRule="auto"/>
        <w:jc w:val="both"/>
        <w:rPr>
          <w:rFonts w:ascii="Times New Roman" w:hAnsi="Times New Roman" w:cs="Times New Roman"/>
          <w:sz w:val="24"/>
          <w:szCs w:val="24"/>
          <w:lang w:val="en-US"/>
        </w:rPr>
      </w:pPr>
      <w:r w:rsidRPr="007F63DD">
        <w:rPr>
          <w:rFonts w:ascii="Times New Roman" w:hAnsi="Times New Roman" w:cs="Times New Roman"/>
          <w:i/>
          <w:sz w:val="24"/>
          <w:szCs w:val="24"/>
          <w:lang w:val="en-US"/>
        </w:rPr>
        <w:t>X-ray diffraction</w:t>
      </w:r>
      <w:r w:rsidRPr="007F63DD">
        <w:rPr>
          <w:rFonts w:ascii="Times New Roman" w:hAnsi="Times New Roman" w:cs="Times New Roman"/>
          <w:sz w:val="24"/>
          <w:szCs w:val="24"/>
          <w:lang w:val="en-US"/>
        </w:rPr>
        <w:t xml:space="preserve"> (XRD) measurements were carried out using Cu Kα radiation on the PANanalytical X´Pert PRO ultrafast detector operating at 45 kV and 40 mA. Bragg´s angles (θ) in the range of 20-80</w:t>
      </w:r>
      <w:r w:rsidRPr="007F63DD">
        <w:rPr>
          <w:rFonts w:ascii="Times New Roman" w:hAnsi="Times New Roman" w:cs="Times New Roman"/>
          <w:sz w:val="24"/>
          <w:szCs w:val="24"/>
          <w:lang w:val="en-US"/>
        </w:rPr>
        <w:sym w:font="Symbol" w:char="F0B0"/>
      </w:r>
      <w:r w:rsidRPr="007F63DD">
        <w:rPr>
          <w:rFonts w:ascii="Times New Roman" w:hAnsi="Times New Roman" w:cs="Times New Roman"/>
          <w:sz w:val="24"/>
          <w:szCs w:val="24"/>
          <w:lang w:val="en-US"/>
        </w:rPr>
        <w:t xml:space="preserve"> were recorded at a scan rate of 0.02° per step and 50 s per point. The crystalline phase identification was carried out by comparison with PDF database from the ICDD-JCPDS. The average crystallite size of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phases were determined by the Scherrer´s equation. </w:t>
      </w:r>
    </w:p>
    <w:p w:rsidR="005E3465" w:rsidRPr="007F63DD" w:rsidRDefault="005E3465" w:rsidP="00DB0E66">
      <w:pPr>
        <w:spacing w:line="360" w:lineRule="auto"/>
        <w:jc w:val="both"/>
        <w:rPr>
          <w:rFonts w:ascii="Times New Roman" w:hAnsi="Times New Roman" w:cs="Times New Roman"/>
          <w:sz w:val="24"/>
          <w:szCs w:val="24"/>
          <w:lang w:val="en-US"/>
        </w:rPr>
      </w:pPr>
      <w:r w:rsidRPr="007F63DD">
        <w:rPr>
          <w:rFonts w:ascii="Times New Roman" w:hAnsi="Times New Roman" w:cs="Times New Roman"/>
          <w:i/>
          <w:sz w:val="24"/>
          <w:szCs w:val="24"/>
          <w:lang w:val="en-US"/>
        </w:rPr>
        <w:t>Thermogravimetric analyses</w:t>
      </w:r>
      <w:r w:rsidRPr="007F63DD">
        <w:rPr>
          <w:rFonts w:ascii="Times New Roman" w:hAnsi="Times New Roman" w:cs="Times New Roman"/>
          <w:sz w:val="24"/>
          <w:szCs w:val="24"/>
          <w:lang w:val="en-US"/>
        </w:rPr>
        <w:t xml:space="preserve"> were performed on a Mettler Toledo TGA/SDTA851e thermobalance. Samples were analyzed at a heating rate of 10 °C min</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xml:space="preserve"> from 25 to 1,000°C, in an atmosphere of air flowing at 75 mL min</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w:t>
      </w:r>
    </w:p>
    <w:p w:rsidR="005E3465" w:rsidRPr="007F63DD" w:rsidRDefault="005E3465" w:rsidP="00AB4970">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 xml:space="preserve">The hydrophilic-hydrophobic nature of the carbonaceous materials was determined by the analysis of the </w:t>
      </w:r>
      <w:r w:rsidRPr="007F63DD">
        <w:rPr>
          <w:rFonts w:ascii="Times New Roman" w:hAnsi="Times New Roman" w:cs="Times New Roman"/>
          <w:i/>
          <w:sz w:val="24"/>
          <w:szCs w:val="24"/>
          <w:lang w:val="en-US"/>
        </w:rPr>
        <w:t>contact angle</w:t>
      </w:r>
      <w:r w:rsidRPr="007F63DD">
        <w:rPr>
          <w:rFonts w:ascii="Times New Roman" w:hAnsi="Times New Roman" w:cs="Times New Roman"/>
          <w:sz w:val="24"/>
          <w:szCs w:val="24"/>
          <w:lang w:val="en-US"/>
        </w:rPr>
        <w:t xml:space="preserve">. These measurements were carried out using a Krüss </w:t>
      </w:r>
      <w:r w:rsidRPr="007F63DD">
        <w:rPr>
          <w:rFonts w:ascii="Times New Roman" w:hAnsi="Times New Roman" w:cs="Times New Roman"/>
          <w:sz w:val="24"/>
          <w:szCs w:val="24"/>
          <w:lang w:val="en-US"/>
        </w:rPr>
        <w:lastRenderedPageBreak/>
        <w:t xml:space="preserve">DSA1 drop shape analyzer. The powder sample was placed into a borosilicate slide and a sessile drop of water was deposited on the sample surface using a syringe. Previous to the measurements, the carbonaceous materials were dried during 24 hours in order to remove adsorbed water. Five measurements for each material were performed. The Young-Laplace method was used to calculate the contact angle </w:t>
      </w:r>
      <w:r w:rsidRPr="007F63DD">
        <w:rPr>
          <w:rFonts w:ascii="Times New Roman" w:hAnsi="Times New Roman" w:cs="Times New Roman"/>
          <w:noProof/>
          <w:sz w:val="24"/>
          <w:szCs w:val="24"/>
          <w:lang w:val="en-US"/>
        </w:rPr>
        <w:t>[35]</w:t>
      </w:r>
      <w:r w:rsidRPr="007F63DD">
        <w:rPr>
          <w:rFonts w:ascii="Times New Roman" w:hAnsi="Times New Roman" w:cs="Times New Roman"/>
          <w:sz w:val="24"/>
          <w:szCs w:val="24"/>
          <w:lang w:val="en-US"/>
        </w:rPr>
        <w:t>.</w:t>
      </w:r>
    </w:p>
    <w:p w:rsidR="005E3465" w:rsidRPr="007F63DD" w:rsidRDefault="005E3465" w:rsidP="008D06EF">
      <w:pPr>
        <w:spacing w:line="360" w:lineRule="auto"/>
        <w:jc w:val="both"/>
        <w:rPr>
          <w:rFonts w:ascii="Times New Roman" w:hAnsi="Times New Roman" w:cs="Times New Roman"/>
          <w:sz w:val="24"/>
          <w:szCs w:val="24"/>
          <w:lang w:val="en-US"/>
        </w:rPr>
      </w:pPr>
      <w:r w:rsidRPr="007F63DD">
        <w:rPr>
          <w:rFonts w:ascii="Times New Roman" w:hAnsi="Times New Roman" w:cs="Times New Roman"/>
          <w:i/>
          <w:sz w:val="24"/>
          <w:szCs w:val="24"/>
          <w:lang w:val="en-US"/>
        </w:rPr>
        <w:t xml:space="preserve">Diffuse reflectance spectra </w:t>
      </w:r>
      <w:r w:rsidRPr="007F63DD">
        <w:rPr>
          <w:rFonts w:ascii="Times New Roman" w:hAnsi="Times New Roman" w:cs="Times New Roman"/>
          <w:sz w:val="24"/>
          <w:szCs w:val="24"/>
          <w:lang w:val="en-US"/>
        </w:rPr>
        <w:t xml:space="preserve">of the materials were recorded between 200-900 nm using a double beam UV-Vis spectrophotometer PerkinElmer Lambda 650 UV/Vis equipped with a diffuse reflectance accessory. The powders were filled in a holder and the surface was smoothed. The layer can be regarded as infinitely thick, as required by the Kubelka-Munk theory. </w:t>
      </w:r>
    </w:p>
    <w:p w:rsidR="005E3465" w:rsidRPr="007F63DD" w:rsidRDefault="005E3465" w:rsidP="00B1362B">
      <w:pPr>
        <w:spacing w:line="360" w:lineRule="auto"/>
        <w:jc w:val="both"/>
        <w:rPr>
          <w:rFonts w:ascii="Times New Roman" w:hAnsi="Times New Roman" w:cs="Times New Roman"/>
          <w:sz w:val="24"/>
          <w:szCs w:val="24"/>
          <w:lang w:val="en-US"/>
        </w:rPr>
      </w:pPr>
      <w:r w:rsidRPr="007F63DD">
        <w:rPr>
          <w:rFonts w:ascii="Times New Roman" w:hAnsi="Times New Roman" w:cs="Times New Roman"/>
          <w:i/>
          <w:sz w:val="24"/>
          <w:szCs w:val="24"/>
          <w:lang w:val="en-US"/>
        </w:rPr>
        <w:t>Scanning electron microscopy</w:t>
      </w:r>
      <w:r w:rsidRPr="007F63DD">
        <w:rPr>
          <w:rFonts w:ascii="Times New Roman" w:hAnsi="Times New Roman" w:cs="Times New Roman"/>
          <w:sz w:val="24"/>
          <w:szCs w:val="24"/>
          <w:lang w:val="en-US"/>
        </w:rPr>
        <w:t xml:space="preserve"> (SEM) combined with energy-dispersive X-ray spectroscopy (XEDS) was performed using a JEOL JSM-7600F equipped with an OXFORD INCA detector. An aliquot of the sample under study was placed onto a clean surface graphite sample holder. High Resolution Transmission Electron Microscopy TEM studies were performed in a JEOL JEM 3000F, attached to a GATAN ENFINA spectrometer for Electron Energy Loss Spectroscopy (EELS) analysis. The spectra were recorded in diffraction mode (image coupling to the spectrometer) with an acquisition time of 1 s, and energy dispersion of 0.1 eV/pixel. Typically, the energy resolution achieved was of ≈ 1.2-1.3 eV and a collection angle close to ≈ 0.9 mrad was used. This collection angle was chosen to be as close as possible to the so-called “magic angle” </w:t>
      </w:r>
      <w:r w:rsidRPr="007F63DD">
        <w:rPr>
          <w:rFonts w:ascii="Times New Roman" w:hAnsi="Times New Roman" w:cs="Times New Roman"/>
          <w:noProof/>
          <w:sz w:val="24"/>
          <w:szCs w:val="24"/>
          <w:lang w:val="en-US"/>
        </w:rPr>
        <w:t>[36]</w:t>
      </w:r>
      <w:r w:rsidRPr="007F63DD">
        <w:rPr>
          <w:rFonts w:ascii="Times New Roman" w:hAnsi="Times New Roman" w:cs="Times New Roman"/>
          <w:sz w:val="24"/>
          <w:szCs w:val="24"/>
          <w:lang w:val="en-US"/>
        </w:rPr>
        <w:t xml:space="preserve"> for the C–K edge. The reason is to avoid as much as possible the orientation effects which affect the shape of the fine structure of the edges. The samples were prepared by ultrasonically dispersing the powders in butanol and one drop of dispersion was deposited onto a copper grid coated with a thin holey amorphous carbon layer.</w:t>
      </w:r>
    </w:p>
    <w:p w:rsidR="005E3465" w:rsidRPr="007F63DD" w:rsidRDefault="005E3465" w:rsidP="00B1362B">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 xml:space="preserve">X-ray photoelectron spectra (XPS) were acquired with a SPECS customized system for surface analysis equipped with a non-monochromatic X-ray source XR 50 and a hemispherical energy analyzer PHOIBOS 150 9MCD. X-ray MgKα line (1253.6 eV) was used as excitation (operating at 200 W/12 kV), and the medium area mode of the lenses was used for the detector. The energy regions of the photoelectrons of interest were scanned at increments of 0.1 eV and fixed pass energy of 20 eV until an acceptable signal-to-noise ratio was achieved. Atomic abundances were estimated by calculating the integral of each peak, determined by subtraction of the Shirley-type </w:t>
      </w:r>
      <w:r w:rsidRPr="007F63DD">
        <w:rPr>
          <w:rFonts w:ascii="Times New Roman" w:hAnsi="Times New Roman" w:cs="Times New Roman"/>
          <w:sz w:val="24"/>
          <w:szCs w:val="24"/>
          <w:lang w:val="en-US"/>
        </w:rPr>
        <w:lastRenderedPageBreak/>
        <w:t>background and fitting of the experimental curve to a combination of Lorentzian and Gaussian using the appropriate sensitivity factors for each element. Binding energies (±0.2 eV) were determined by setting the C 1s peak at 284.6 eV. The energy regions of the photoelectrons of interest: Ti 2p, O 1s, and C 1s were analyzed.</w:t>
      </w:r>
    </w:p>
    <w:p w:rsidR="005E3465" w:rsidRPr="007F63DD" w:rsidRDefault="005E3465" w:rsidP="00F310B3">
      <w:pPr>
        <w:spacing w:line="360" w:lineRule="auto"/>
        <w:jc w:val="both"/>
        <w:rPr>
          <w:rFonts w:ascii="Times New Roman" w:hAnsi="Times New Roman" w:cs="Times New Roman"/>
          <w:i/>
          <w:sz w:val="24"/>
          <w:szCs w:val="24"/>
          <w:lang w:val="en-US"/>
        </w:rPr>
      </w:pPr>
      <w:r w:rsidRPr="007F63DD">
        <w:rPr>
          <w:rFonts w:ascii="Times New Roman" w:hAnsi="Times New Roman" w:cs="Times New Roman"/>
          <w:i/>
          <w:sz w:val="24"/>
          <w:szCs w:val="24"/>
          <w:lang w:val="en-US"/>
        </w:rPr>
        <w:t>2.3. Photocatalytic activity tests and adsorption ability</w:t>
      </w:r>
    </w:p>
    <w:p w:rsidR="005E3465" w:rsidRPr="007F63DD" w:rsidRDefault="005E3465" w:rsidP="00E24E69">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The photocatalytic performance of the APHs for the degradation of formaldehyde (HCHO) or trichloroethylene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was studied using a continuous flat stainless-steel reactor (120 mm x 50 mm x 10 mm). A continuous air flow containing the pollutant is passed through the photoreactor containing the sample. The top of the reactor consists on a rectangular borosilicate glass window (37 cm</w:t>
      </w:r>
      <w:r w:rsidRPr="007F63DD">
        <w:rPr>
          <w:rFonts w:ascii="Times New Roman" w:hAnsi="Times New Roman" w:cs="Times New Roman"/>
          <w:sz w:val="24"/>
          <w:szCs w:val="24"/>
          <w:vertAlign w:val="superscript"/>
          <w:lang w:val="en-US"/>
        </w:rPr>
        <w:t>2</w:t>
      </w:r>
      <w:r w:rsidRPr="007F63DD">
        <w:rPr>
          <w:rFonts w:ascii="Times New Roman" w:hAnsi="Times New Roman" w:cs="Times New Roman"/>
          <w:sz w:val="24"/>
          <w:szCs w:val="24"/>
          <w:lang w:val="en-US"/>
        </w:rPr>
        <w:t>). This surface was irradiated with two UV-A lights (8 W Philips) with 6.5 mW cm</w:t>
      </w:r>
      <w:r w:rsidRPr="007F63DD">
        <w:rPr>
          <w:rFonts w:ascii="Times New Roman" w:hAnsi="Times New Roman" w:cs="Times New Roman"/>
          <w:sz w:val="24"/>
          <w:szCs w:val="24"/>
          <w:vertAlign w:val="superscript"/>
          <w:lang w:val="en-US"/>
        </w:rPr>
        <w:t>-2</w:t>
      </w:r>
      <w:r w:rsidRPr="007F63DD">
        <w:rPr>
          <w:rFonts w:ascii="Times New Roman" w:hAnsi="Times New Roman" w:cs="Times New Roman"/>
          <w:sz w:val="24"/>
          <w:szCs w:val="24"/>
          <w:lang w:val="en-US"/>
        </w:rPr>
        <w:t xml:space="preserve"> irradiance. </w:t>
      </w:r>
      <w:bookmarkStart w:id="0" w:name="_Hlk71315166"/>
      <w:r w:rsidRPr="007F63DD">
        <w:rPr>
          <w:rFonts w:ascii="Times New Roman" w:hAnsi="Times New Roman" w:cs="Times New Roman"/>
          <w:sz w:val="24"/>
          <w:szCs w:val="24"/>
          <w:lang w:val="en-US"/>
        </w:rPr>
        <w:t>The photocatalyst was dispersed on a borosilicate glass plate (19 cm</w:t>
      </w:r>
      <w:r w:rsidRPr="007F63DD">
        <w:rPr>
          <w:rFonts w:ascii="Times New Roman" w:hAnsi="Times New Roman" w:cs="Times New Roman"/>
          <w:sz w:val="24"/>
          <w:szCs w:val="24"/>
          <w:vertAlign w:val="superscript"/>
          <w:lang w:val="en-US"/>
        </w:rPr>
        <w:t>2</w:t>
      </w:r>
      <w:r w:rsidRPr="007F63DD">
        <w:rPr>
          <w:rFonts w:ascii="Times New Roman" w:hAnsi="Times New Roman" w:cs="Times New Roman"/>
          <w:sz w:val="24"/>
          <w:szCs w:val="24"/>
          <w:lang w:val="en-US"/>
        </w:rPr>
        <w:t>), preparing a suspension of the powder in isopropanol. The glass plate with the photocatalytic material was placed inside the reactor</w:t>
      </w:r>
      <w:bookmarkEnd w:id="0"/>
      <w:r w:rsidRPr="007F63DD">
        <w:rPr>
          <w:rFonts w:ascii="Times New Roman" w:hAnsi="Times New Roman" w:cs="Times New Roman"/>
          <w:sz w:val="24"/>
          <w:szCs w:val="24"/>
          <w:lang w:val="en-US"/>
        </w:rPr>
        <w:t>. With the aim to minimize the adsorption step 30 mg of sample were used in these experiments. The air flow containing the selected pollutant was continuously flown through the reactor. The concentration of the pollutant, either HCHO or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was set at 15 ppm or 25 ppm, obtained from a gas cylinder (Air Liquide) of 100 ppm HCHO/N</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and 250 ppm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/N</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Photocatalytic activity experiments at different contact times (</w:t>
      </w:r>
      <w:r w:rsidRPr="007F63DD">
        <w:rPr>
          <w:rFonts w:ascii="Times New Roman" w:hAnsi="Times New Roman" w:cs="Times New Roman"/>
          <w:i/>
          <w:sz w:val="24"/>
          <w:szCs w:val="24"/>
          <w:lang w:val="en-US"/>
        </w:rPr>
        <w:t>t</w:t>
      </w:r>
      <w:r w:rsidRPr="007F63DD">
        <w:rPr>
          <w:rFonts w:ascii="Times New Roman" w:hAnsi="Times New Roman" w:cs="Times New Roman"/>
          <w:i/>
          <w:sz w:val="24"/>
          <w:szCs w:val="24"/>
          <w:vertAlign w:val="subscript"/>
          <w:lang w:val="en-US"/>
        </w:rPr>
        <w:t>r</w:t>
      </w:r>
      <w:r w:rsidRPr="007F63DD">
        <w:rPr>
          <w:rFonts w:ascii="Times New Roman" w:hAnsi="Times New Roman" w:cs="Times New Roman"/>
          <w:sz w:val="24"/>
          <w:szCs w:val="24"/>
          <w:lang w:val="en-US"/>
        </w:rPr>
        <w:t xml:space="preserve"> 0.3-1.3 s) changing the total gas flow between 300 and 1,000 mL min</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xml:space="preserve"> were performed</w:t>
      </w:r>
      <w:bookmarkStart w:id="1" w:name="_Hlk71315252"/>
      <w:r w:rsidRPr="007F63DD">
        <w:rPr>
          <w:rFonts w:ascii="Times New Roman" w:hAnsi="Times New Roman" w:cs="Times New Roman"/>
          <w:sz w:val="24"/>
          <w:szCs w:val="24"/>
          <w:lang w:val="en-US"/>
        </w:rPr>
        <w:t>. Neither photocatalytic nor photolytic processes were observed with the raw carbonaceous materials under the reaction conditions used in this study.</w:t>
      </w:r>
      <w:bookmarkEnd w:id="1"/>
    </w:p>
    <w:p w:rsidR="005E3465" w:rsidRPr="007F63DD" w:rsidRDefault="005E3465" w:rsidP="00E24E69">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The adsorption ability of the raw materials and 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composites for the targeted pollutants, HCHO or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was measured under dynamic conditions, as reported previously </w:t>
      </w:r>
      <w:r w:rsidRPr="007F63DD">
        <w:rPr>
          <w:rFonts w:ascii="Times New Roman" w:hAnsi="Times New Roman" w:cs="Times New Roman"/>
          <w:noProof/>
          <w:sz w:val="24"/>
          <w:szCs w:val="24"/>
          <w:lang w:val="en-US"/>
        </w:rPr>
        <w:t>[10]</w:t>
      </w:r>
      <w:r w:rsidRPr="007F63DD">
        <w:rPr>
          <w:rFonts w:ascii="Times New Roman" w:hAnsi="Times New Roman" w:cs="Times New Roman"/>
          <w:sz w:val="24"/>
          <w:szCs w:val="24"/>
          <w:lang w:val="en-US"/>
        </w:rPr>
        <w:t xml:space="preserve">. Before the experiment, the sample under study was pre-treated under air flow and UV-A radiation during 12 h, to remove water and the possible impurities from the sample preparation. </w:t>
      </w:r>
    </w:p>
    <w:p w:rsidR="005E3465" w:rsidRPr="007F63DD" w:rsidRDefault="005E3465" w:rsidP="00470D72">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The gas phase composition was continuously monitored by using a FTIR Thermo-Nicolet 5700 spectrometer with a temperature controlled multiple-reflection gas cell (optical path 2 m) maintained at 110</w:t>
      </w:r>
      <w:r w:rsidRPr="007F63DD">
        <w:rPr>
          <w:rFonts w:ascii="Times New Roman" w:hAnsi="Times New Roman" w:cs="Times New Roman"/>
          <w:sz w:val="24"/>
          <w:szCs w:val="24"/>
          <w:lang w:val="en-US"/>
        </w:rPr>
        <w:sym w:font="Symbol" w:char="F0B0"/>
      </w:r>
      <w:r w:rsidRPr="007F63DD">
        <w:rPr>
          <w:rFonts w:ascii="Times New Roman" w:hAnsi="Times New Roman" w:cs="Times New Roman"/>
          <w:sz w:val="24"/>
          <w:szCs w:val="24"/>
          <w:lang w:val="en-US"/>
        </w:rPr>
        <w:t>C. Infrared spectra were obtained by averaging 64 scans with a resolution of 4 cm</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xml:space="preserve"> within the 4,000 to 800 cm</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xml:space="preserve"> spectral range. The evolution of the photocatalytic reaction was followed with the representative vibrational </w:t>
      </w:r>
      <w:r w:rsidRPr="007F63DD">
        <w:rPr>
          <w:rFonts w:ascii="Times New Roman" w:hAnsi="Times New Roman" w:cs="Times New Roman"/>
          <w:sz w:val="24"/>
          <w:szCs w:val="24"/>
          <w:lang w:val="en-US"/>
        </w:rPr>
        <w:lastRenderedPageBreak/>
        <w:t>bands of the reaction products. The evolution of formaldehyde degradation was assessed by monitoring the HCHO representative band at 1,842-1,623 cm</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xml:space="preserve"> and the CO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bands at 2,435-2,233 cm</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For the trichloroethylene photooxidation studies, the bands at 965-903 cm</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xml:space="preserve"> corresponding to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along the ones for COCl</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at 1,873-1780 cm</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O at 1,144-1,037 cm</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xml:space="preserve"> and CO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were monitored. Pollutants degradation rate was calculated by considering the amount of pollutant removed during the photocatalytic process at steady-state conditions and the amount of the photoactive phase. The HCHO and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conversions were calculated as previously reported </w:t>
      </w:r>
      <w:r w:rsidRPr="007F63DD">
        <w:rPr>
          <w:rFonts w:ascii="Times New Roman" w:hAnsi="Times New Roman" w:cs="Times New Roman"/>
          <w:noProof/>
          <w:sz w:val="24"/>
          <w:szCs w:val="24"/>
          <w:lang w:val="en-US"/>
        </w:rPr>
        <w:t>[10]</w:t>
      </w:r>
      <w:r w:rsidRPr="007F63DD">
        <w:rPr>
          <w:rFonts w:ascii="Times New Roman" w:hAnsi="Times New Roman" w:cs="Times New Roman"/>
          <w:sz w:val="24"/>
          <w:szCs w:val="24"/>
          <w:lang w:val="en-US"/>
        </w:rPr>
        <w:t>. The experimental error for these analyses was ±5%.</w:t>
      </w:r>
    </w:p>
    <w:p w:rsidR="005E3465" w:rsidRPr="007F63DD" w:rsidRDefault="005E3465" w:rsidP="00B8078C">
      <w:pPr>
        <w:rPr>
          <w:rFonts w:ascii="Times New Roman" w:hAnsi="Times New Roman" w:cs="Times New Roman"/>
          <w:b/>
          <w:sz w:val="24"/>
          <w:szCs w:val="24"/>
          <w:lang w:val="en-GB"/>
        </w:rPr>
      </w:pPr>
      <w:r w:rsidRPr="007F63DD">
        <w:rPr>
          <w:sz w:val="20"/>
          <w:szCs w:val="20"/>
          <w:lang w:val="en-US"/>
        </w:rPr>
        <w:br w:type="page"/>
      </w:r>
      <w:r w:rsidRPr="007F63DD">
        <w:rPr>
          <w:rFonts w:ascii="Times New Roman" w:hAnsi="Times New Roman" w:cs="Times New Roman"/>
          <w:b/>
          <w:sz w:val="24"/>
          <w:szCs w:val="24"/>
          <w:lang w:val="en-GB"/>
        </w:rPr>
        <w:lastRenderedPageBreak/>
        <w:t>3. Result and discussion</w:t>
      </w:r>
    </w:p>
    <w:p w:rsidR="005E3465" w:rsidRPr="007F63DD" w:rsidRDefault="005E3465" w:rsidP="008D36D7">
      <w:pPr>
        <w:spacing w:line="360" w:lineRule="auto"/>
        <w:jc w:val="both"/>
        <w:rPr>
          <w:rFonts w:ascii="Times New Roman" w:hAnsi="Times New Roman" w:cs="Times New Roman"/>
          <w:i/>
          <w:sz w:val="24"/>
          <w:szCs w:val="24"/>
          <w:lang w:val="en-GB"/>
        </w:rPr>
      </w:pPr>
      <w:r w:rsidRPr="007F63DD">
        <w:rPr>
          <w:rFonts w:ascii="Times New Roman" w:hAnsi="Times New Roman" w:cs="Times New Roman"/>
          <w:i/>
          <w:sz w:val="24"/>
          <w:szCs w:val="24"/>
          <w:lang w:val="en-GB"/>
        </w:rPr>
        <w:t>3.1 Characterization of the carbon/TiO</w:t>
      </w:r>
      <w:r w:rsidRPr="007F63DD">
        <w:rPr>
          <w:rFonts w:ascii="Times New Roman" w:hAnsi="Times New Roman" w:cs="Times New Roman"/>
          <w:i/>
          <w:sz w:val="24"/>
          <w:szCs w:val="24"/>
          <w:vertAlign w:val="subscript"/>
          <w:lang w:val="en-GB"/>
        </w:rPr>
        <w:t>2</w:t>
      </w:r>
      <w:r w:rsidRPr="007F63DD">
        <w:rPr>
          <w:rFonts w:ascii="Times New Roman" w:hAnsi="Times New Roman" w:cs="Times New Roman"/>
          <w:i/>
          <w:sz w:val="24"/>
          <w:szCs w:val="24"/>
          <w:lang w:val="en-GB"/>
        </w:rPr>
        <w:t xml:space="preserve"> composites</w:t>
      </w:r>
    </w:p>
    <w:p w:rsidR="005E3465" w:rsidRPr="007F63DD" w:rsidRDefault="005E3465" w:rsidP="00F0140E">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The calcination temperature for the preparation of carbon/TiO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hybrids was selected as the minimum temperature needed for the elimination of the organic residues, without oxidation of carbonaceous material. According to the TGA-DSC analyses, the temperature treatment for AC,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 xml:space="preserve"> based materials was 200 ºC, whereas that for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was 350 ºC. Thermal treatment duration was 3 h in all cases (SI-Fig.1).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was incorporated into the mesoporous materials by two easily scalable methods: incipient wet impregnation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and mechanical mixing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The optimum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contents on each type of samples are 8 wt.% of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in the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series and a carbon:TiO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ratio 1:1 in the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series, as determined elsewhere </w:t>
      </w:r>
      <w:r w:rsidRPr="007F63DD">
        <w:rPr>
          <w:rFonts w:ascii="Times New Roman" w:hAnsi="Times New Roman" w:cs="Times New Roman"/>
          <w:noProof/>
          <w:sz w:val="24"/>
          <w:szCs w:val="24"/>
          <w:lang w:val="en-GB"/>
        </w:rPr>
        <w:t>[34]</w:t>
      </w:r>
      <w:r w:rsidRPr="007F63DD">
        <w:rPr>
          <w:rFonts w:ascii="Times New Roman" w:hAnsi="Times New Roman" w:cs="Times New Roman"/>
          <w:sz w:val="24"/>
          <w:szCs w:val="24"/>
          <w:lang w:val="en-GB"/>
        </w:rPr>
        <w:t>. The textural properties of the materials obtained are shown in Table 1. The surface areas of the reference semiconductors (commercial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and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xerogel) are ca. 150 m</w:t>
      </w:r>
      <w:r w:rsidRPr="007F63DD">
        <w:rPr>
          <w:rFonts w:ascii="Times New Roman" w:hAnsi="Times New Roman" w:cs="Times New Roman"/>
          <w:sz w:val="24"/>
          <w:szCs w:val="24"/>
          <w:vertAlign w:val="superscript"/>
          <w:lang w:val="en-GB"/>
        </w:rPr>
        <w:t>2</w:t>
      </w:r>
      <w:r w:rsidRPr="007F63DD">
        <w:rPr>
          <w:rFonts w:ascii="Times New Roman" w:hAnsi="Times New Roman" w:cs="Times New Roman"/>
          <w:sz w:val="24"/>
          <w:szCs w:val="24"/>
          <w:lang w:val="en-GB"/>
        </w:rPr>
        <w:t xml:space="preserve"> g</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xml:space="preserve">, both of them exhibiting Type-IV isotherms, with well-developed hysteresis loops and distinct condensation steps characteristic for mesoporous materials </w:t>
      </w:r>
      <w:r w:rsidRPr="007F63DD">
        <w:rPr>
          <w:rFonts w:ascii="Times New Roman" w:hAnsi="Times New Roman" w:cs="Times New Roman"/>
          <w:noProof/>
          <w:sz w:val="24"/>
          <w:szCs w:val="24"/>
          <w:lang w:val="en-GB"/>
        </w:rPr>
        <w:t>[37]</w:t>
      </w:r>
      <w:r w:rsidRPr="007F63DD">
        <w:rPr>
          <w:rFonts w:ascii="Times New Roman" w:hAnsi="Times New Roman" w:cs="Times New Roman"/>
          <w:sz w:val="24"/>
          <w:szCs w:val="24"/>
          <w:lang w:val="en-GB"/>
        </w:rPr>
        <w:t>.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 xml:space="preserve"> shows a Type IIa isotherm characteristic of non-porous materials where the sharp increase of the adsorbed volume at high partial pressure indicates the presence of macropores (SI-Fig.2). This material presents the lowest BET area of the series of 85 m</w:t>
      </w:r>
      <w:r w:rsidRPr="007F63DD">
        <w:rPr>
          <w:rFonts w:ascii="Times New Roman" w:hAnsi="Times New Roman" w:cs="Times New Roman"/>
          <w:sz w:val="24"/>
          <w:szCs w:val="24"/>
          <w:vertAlign w:val="superscript"/>
          <w:lang w:val="en-GB"/>
        </w:rPr>
        <w:t>2</w:t>
      </w:r>
      <w:r w:rsidRPr="007F63DD">
        <w:rPr>
          <w:rFonts w:ascii="Times New Roman" w:hAnsi="Times New Roman" w:cs="Times New Roman"/>
          <w:sz w:val="24"/>
          <w:szCs w:val="24"/>
          <w:lang w:val="en-GB"/>
        </w:rPr>
        <w:t xml:space="preserve"> g</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xml:space="preserve"> with a mean pore size diameter around 50 nm.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Starbons show similar isotherms, that can be defined as a mixture of Type I and </w:t>
      </w:r>
      <w:r w:rsidRPr="007F63DD">
        <w:rPr>
          <w:rFonts w:ascii="Times New Roman" w:hAnsi="Times New Roman" w:cs="Times New Roman"/>
          <w:sz w:val="24"/>
          <w:szCs w:val="24"/>
          <w:lang w:val="en-US"/>
        </w:rPr>
        <w:t xml:space="preserve">IIB isotherms, </w:t>
      </w:r>
      <w:r w:rsidRPr="007F63DD">
        <w:rPr>
          <w:rFonts w:ascii="Times New Roman" w:hAnsi="Times New Roman" w:cs="Times New Roman"/>
          <w:sz w:val="24"/>
          <w:szCs w:val="24"/>
          <w:lang w:val="en-GB"/>
        </w:rPr>
        <w:t>combining a micro-meso structure. According to the producer´s indications, these mesoporous carbons were synthesised from the same precursors. The difference between both materials is the temperature treatment; 300 and 800 ºC for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respectively. The notable increase of the BET area from 180 m</w:t>
      </w:r>
      <w:r w:rsidRPr="007F63DD">
        <w:rPr>
          <w:rFonts w:ascii="Times New Roman" w:hAnsi="Times New Roman" w:cs="Times New Roman"/>
          <w:sz w:val="24"/>
          <w:szCs w:val="24"/>
          <w:vertAlign w:val="superscript"/>
          <w:lang w:val="en-GB"/>
        </w:rPr>
        <w:t>2</w:t>
      </w:r>
      <w:r w:rsidRPr="007F63DD">
        <w:rPr>
          <w:rFonts w:ascii="Times New Roman" w:hAnsi="Times New Roman" w:cs="Times New Roman"/>
          <w:sz w:val="24"/>
          <w:szCs w:val="24"/>
          <w:lang w:val="en-GB"/>
        </w:rPr>
        <w:t xml:space="preserve"> g</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xml:space="preserve"> to 440 m</w:t>
      </w:r>
      <w:r w:rsidRPr="007F63DD">
        <w:rPr>
          <w:rFonts w:ascii="Times New Roman" w:hAnsi="Times New Roman" w:cs="Times New Roman"/>
          <w:sz w:val="24"/>
          <w:szCs w:val="24"/>
          <w:vertAlign w:val="superscript"/>
          <w:lang w:val="en-GB"/>
        </w:rPr>
        <w:t>2</w:t>
      </w:r>
      <w:r w:rsidRPr="007F63DD">
        <w:rPr>
          <w:rFonts w:ascii="Times New Roman" w:hAnsi="Times New Roman" w:cs="Times New Roman"/>
          <w:sz w:val="24"/>
          <w:szCs w:val="24"/>
          <w:lang w:val="en-GB"/>
        </w:rPr>
        <w:t xml:space="preserve"> g</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xml:space="preserve"> with the temperature treatment could be related to the degree of elimination of residues remaining adsorbed on the materials after their synthesis. According to the pore size distribution, micropores of 0.5 nm and mesopores of 15 nm are present in these carbons. On the other hand, the activated carbon (AC) displays a Type I isotherm, typical for microporous materials with a well-developed sharp ''knee'' at the low relative pressure, combined to Type IV, characteristic of mesoporous materials </w:t>
      </w:r>
      <w:r w:rsidRPr="007F63DD">
        <w:rPr>
          <w:rFonts w:ascii="Times New Roman" w:hAnsi="Times New Roman" w:cs="Times New Roman"/>
          <w:noProof/>
          <w:sz w:val="24"/>
          <w:szCs w:val="24"/>
          <w:lang w:val="en-GB"/>
        </w:rPr>
        <w:t>[38]</w:t>
      </w:r>
      <w:r w:rsidRPr="007F63DD">
        <w:rPr>
          <w:rFonts w:ascii="Times New Roman" w:hAnsi="Times New Roman" w:cs="Times New Roman"/>
          <w:sz w:val="24"/>
          <w:szCs w:val="24"/>
          <w:lang w:val="en-GB"/>
        </w:rPr>
        <w:t>. This material is the one with the highest surface area (1,300 m</w:t>
      </w:r>
      <w:r w:rsidRPr="007F63DD">
        <w:rPr>
          <w:rFonts w:ascii="Times New Roman" w:hAnsi="Times New Roman" w:cs="Times New Roman"/>
          <w:sz w:val="24"/>
          <w:szCs w:val="24"/>
          <w:vertAlign w:val="superscript"/>
          <w:lang w:val="en-GB"/>
        </w:rPr>
        <w:t>2</w:t>
      </w:r>
      <w:r w:rsidRPr="007F63DD">
        <w:rPr>
          <w:rFonts w:ascii="Times New Roman" w:hAnsi="Times New Roman" w:cs="Times New Roman"/>
          <w:sz w:val="24"/>
          <w:szCs w:val="24"/>
          <w:lang w:val="en-GB"/>
        </w:rPr>
        <w:t xml:space="preserve"> g</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and micropore volume (0.5 cm</w:t>
      </w:r>
      <w:r w:rsidRPr="007F63DD">
        <w:rPr>
          <w:rFonts w:ascii="Times New Roman" w:hAnsi="Times New Roman" w:cs="Times New Roman"/>
          <w:sz w:val="24"/>
          <w:szCs w:val="24"/>
          <w:vertAlign w:val="superscript"/>
          <w:lang w:val="en-GB"/>
        </w:rPr>
        <w:t>3</w:t>
      </w:r>
      <w:r w:rsidRPr="007F63DD">
        <w:rPr>
          <w:rFonts w:ascii="Times New Roman" w:hAnsi="Times New Roman" w:cs="Times New Roman"/>
          <w:sz w:val="24"/>
          <w:szCs w:val="24"/>
          <w:lang w:val="en-GB"/>
        </w:rPr>
        <w:t xml:space="preserve"> g</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in the series. This material is characterised by a micro-mesopore structure similar to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with mean pore sizes of 1 and 7 nm. The BET area of the carbonaceous precursors follows the order: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 xml:space="preserve"> &lt;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&lt;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&lt; AC. The incorporation of </w:t>
      </w:r>
      <w:r w:rsidRPr="007F63DD">
        <w:rPr>
          <w:rFonts w:ascii="Times New Roman" w:hAnsi="Times New Roman" w:cs="Times New Roman"/>
          <w:sz w:val="24"/>
          <w:szCs w:val="24"/>
          <w:lang w:val="en-GB"/>
        </w:rPr>
        <w:lastRenderedPageBreak/>
        <w:t>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to conform the hybrids has no significant impact in the BET area of the hybrids, which seems to be dominated by the specific surface area of the carbonaceous precursor (Table 1). </w:t>
      </w:r>
      <w:bookmarkStart w:id="2" w:name="_Hlk71314299"/>
      <w:r w:rsidRPr="007F63DD">
        <w:rPr>
          <w:rFonts w:ascii="Times New Roman" w:hAnsi="Times New Roman" w:cs="Times New Roman"/>
          <w:sz w:val="24"/>
          <w:szCs w:val="24"/>
          <w:lang w:val="en-GB"/>
        </w:rPr>
        <w:t>The N</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adsorption-desorption isotherms of the APHs combine the features of the isotherms of the raw carbonaceous materials and the semiconductors used for the preparation of the APHs (SI Fig. 2). </w:t>
      </w:r>
      <w:bookmarkEnd w:id="2"/>
      <w:r w:rsidRPr="007F63DD">
        <w:rPr>
          <w:rFonts w:ascii="Times New Roman" w:hAnsi="Times New Roman" w:cs="Times New Roman"/>
          <w:sz w:val="24"/>
          <w:szCs w:val="24"/>
          <w:lang w:val="en-GB"/>
        </w:rPr>
        <w:t>In the case of the carbons with microporosity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and AC), the BET area of the hybrid is decreased due a blockage of a fraction of the microspores by titania particles. This fact is more pronounced in the composites prepared with higher amounts of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w:t>
      </w:r>
    </w:p>
    <w:p w:rsidR="005E3465" w:rsidRPr="007F63DD" w:rsidRDefault="005E3465" w:rsidP="007508B7">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The morphology of the carbonaceous materials was studied by SEM (Fig. 1).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 xml:space="preserve"> shows aggregates with a globular form, made by small spherical particles with a mean particle size between 15-50 nm. Thus, the mesopore structure deduced from the N</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adsorption-desorption isotherms might arise to the voids generated by the interparticle space rather than to the intrinsic particle porosity. On the contrary, large porous spherical particles in the order of microns, between 2-10 </w:t>
      </w:r>
      <w:r w:rsidRPr="007F63DD">
        <w:rPr>
          <w:rFonts w:ascii="Symbol" w:hAnsi="Symbol" w:cs="Times New Roman"/>
          <w:sz w:val="24"/>
          <w:szCs w:val="24"/>
          <w:lang w:val="en-GB"/>
        </w:rPr>
        <w:t></w:t>
      </w:r>
      <w:r w:rsidRPr="007F63DD">
        <w:rPr>
          <w:rFonts w:ascii="Times New Roman" w:hAnsi="Times New Roman" w:cs="Times New Roman"/>
          <w:sz w:val="24"/>
          <w:szCs w:val="24"/>
          <w:lang w:val="en-GB"/>
        </w:rPr>
        <w:t>m, can be observed in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Pores of sizes between 50-100 nm can be distinguished in the micrographs. AC consists on irregular large particles of about 20 </w:t>
      </w:r>
      <w:r w:rsidRPr="007F63DD">
        <w:rPr>
          <w:rFonts w:ascii="Times New Roman" w:hAnsi="Times New Roman" w:cs="Times New Roman"/>
          <w:sz w:val="24"/>
          <w:szCs w:val="24"/>
          <w:lang w:val="en-GB"/>
        </w:rPr>
        <w:sym w:font="Symbol" w:char="F06D"/>
      </w:r>
      <w:r w:rsidRPr="007F63DD">
        <w:rPr>
          <w:rFonts w:ascii="Times New Roman" w:hAnsi="Times New Roman" w:cs="Times New Roman"/>
          <w:sz w:val="24"/>
          <w:szCs w:val="24"/>
          <w:lang w:val="en-GB"/>
        </w:rPr>
        <w:t>m length.</w:t>
      </w:r>
    </w:p>
    <w:p w:rsidR="005E3465" w:rsidRPr="007F63DD" w:rsidRDefault="005E3465" w:rsidP="007508B7">
      <w:pPr>
        <w:spacing w:after="0"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The carbonaceous supporting materials were characterized by transmission electron microscope at two different levels: (i) high resolution transmission electron microscopy to characterize the samples at the atomic scale and (ii) electron energy loss spectroscopy to assess differences in bonding. Representative images are presented in Fig. 2. Figure 2a depicts a representative image of C</w:t>
      </w:r>
      <w:r w:rsidRPr="007F63DD">
        <w:rPr>
          <w:rFonts w:ascii="Times New Roman" w:hAnsi="Times New Roman" w:cs="Times New Roman"/>
          <w:sz w:val="24"/>
          <w:szCs w:val="24"/>
          <w:vertAlign w:val="subscript"/>
          <w:lang w:val="en-US"/>
        </w:rPr>
        <w:t>1</w:t>
      </w:r>
      <w:r w:rsidRPr="007F63DD">
        <w:rPr>
          <w:rFonts w:ascii="Times New Roman" w:hAnsi="Times New Roman" w:cs="Times New Roman"/>
          <w:sz w:val="24"/>
          <w:szCs w:val="24"/>
          <w:lang w:val="en-US"/>
        </w:rPr>
        <w:t>, showing how this sample is composed almost uniquely by graphite ribbons. The typical interlayer spacing of 0.34 nm for graphite materials is observed in the picture as fringes. As shown in Figures 2 b-d,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C</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and AC materials display a graphite like structure, what it is concluded in conjunction with the EELS experiments, </w:t>
      </w:r>
      <w:r w:rsidRPr="007F63DD">
        <w:rPr>
          <w:rFonts w:ascii="Times New Roman" w:hAnsi="Times New Roman" w:cs="Times New Roman"/>
          <w:i/>
          <w:sz w:val="24"/>
          <w:szCs w:val="24"/>
          <w:lang w:val="en-US"/>
        </w:rPr>
        <w:t>vide-infra</w:t>
      </w:r>
      <w:r w:rsidRPr="007F63DD">
        <w:rPr>
          <w:rFonts w:ascii="Times New Roman" w:hAnsi="Times New Roman" w:cs="Times New Roman"/>
          <w:sz w:val="24"/>
          <w:szCs w:val="24"/>
          <w:lang w:val="en-US"/>
        </w:rPr>
        <w:t xml:space="preserve">. In all these three images, open and curved disordered graphite-like sheets at the thinnest areas of the particles are clearly observed. Some insets are included to stress further this peculiarity </w:t>
      </w:r>
      <w:r w:rsidRPr="007F63DD">
        <w:rPr>
          <w:rFonts w:ascii="Times New Roman" w:hAnsi="Times New Roman" w:cs="Times New Roman"/>
          <w:noProof/>
          <w:sz w:val="24"/>
          <w:szCs w:val="24"/>
          <w:lang w:val="en-US"/>
        </w:rPr>
        <w:t>[39]</w:t>
      </w:r>
      <w:r w:rsidRPr="007F63DD">
        <w:rPr>
          <w:rFonts w:ascii="Times New Roman" w:hAnsi="Times New Roman" w:cs="Times New Roman"/>
          <w:sz w:val="24"/>
          <w:szCs w:val="24"/>
          <w:lang w:val="en-US"/>
        </w:rPr>
        <w:t>.</w:t>
      </w:r>
    </w:p>
    <w:p w:rsidR="005E3465" w:rsidRPr="007F63DD" w:rsidRDefault="005E3465" w:rsidP="007508B7">
      <w:pPr>
        <w:spacing w:after="0"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 xml:space="preserve">The corresponding EEL spectra are shown in Fig. 2 e) and f), where the low-loss and high-loss spectra are included, respectively. In the former, the zero loss peaks have been subtracted from the raw spectra. The latter is the energy loss near edge structure, ELNES, which is very sensitive to differences in bonding. Thus, it can be used as a finger-print of the atomic structure. The peculiarities found in the EEL spectra according to the structural differences in carbon samples have been extensively </w:t>
      </w:r>
      <w:r w:rsidRPr="007F63DD">
        <w:rPr>
          <w:rFonts w:ascii="Times New Roman" w:hAnsi="Times New Roman" w:cs="Times New Roman"/>
          <w:sz w:val="24"/>
          <w:szCs w:val="24"/>
          <w:lang w:val="en-US"/>
        </w:rPr>
        <w:lastRenderedPageBreak/>
        <w:t xml:space="preserve">described in the literature. For clarity reasons, we here just itemize these main characteristics. In the low loss region one or more peaks corresponding to plasmons are expected to show up. The bulk plasmon peak is situated at ≈ 27 eV in the case of graphite and at ≈ 33 eV in the case of diamond. When the materials present disorder, a wide range of values are observed. Due to the fact that this peak is related to the valence electron density it is also related to the mass density of the material. The other main characteristic in the low-loss region is the </w:t>
      </w:r>
      <w:r w:rsidRPr="007F63DD">
        <w:rPr>
          <w:rFonts w:ascii="Times New Roman" w:hAnsi="Times New Roman" w:cs="Times New Roman"/>
          <w:sz w:val="24"/>
          <w:szCs w:val="24"/>
        </w:rPr>
        <w:sym w:font="Symbol" w:char="F070"/>
      </w:r>
      <w:r w:rsidRPr="007F63DD">
        <w:rPr>
          <w:rFonts w:ascii="Times New Roman" w:hAnsi="Times New Roman" w:cs="Times New Roman"/>
          <w:sz w:val="24"/>
          <w:szCs w:val="24"/>
          <w:lang w:val="en-US"/>
        </w:rPr>
        <w:t xml:space="preserve"> plasmon peak, which it is only present in graphite and graphite like materials and it is situated at ≈ 6 eV. The intensity is related to the number of unsaturated bonds. The core-loss spectra display two well separated peaks at 284 and 291 eV corresponding to the electronic transitions 1s </w:t>
      </w:r>
      <w:r w:rsidRPr="007F63DD">
        <w:rPr>
          <w:rFonts w:ascii="Times New Roman" w:hAnsi="Times New Roman" w:cs="Times New Roman"/>
          <w:sz w:val="24"/>
          <w:szCs w:val="24"/>
        </w:rPr>
        <w:sym w:font="Symbol" w:char="F0AE"/>
      </w:r>
      <w:r w:rsidRPr="007F63DD">
        <w:rPr>
          <w:rFonts w:ascii="Times New Roman" w:hAnsi="Times New Roman" w:cs="Times New Roman"/>
          <w:sz w:val="24"/>
          <w:szCs w:val="24"/>
          <w:lang w:val="en-US"/>
        </w:rPr>
        <w:t xml:space="preserve"> </w:t>
      </w:r>
      <w:r w:rsidRPr="007F63DD">
        <w:rPr>
          <w:rFonts w:ascii="Times New Roman" w:hAnsi="Times New Roman" w:cs="Times New Roman"/>
          <w:sz w:val="24"/>
          <w:szCs w:val="24"/>
        </w:rPr>
        <w:sym w:font="Symbol" w:char="F070"/>
      </w:r>
      <w:r w:rsidRPr="007F63DD">
        <w:rPr>
          <w:rFonts w:ascii="Times New Roman" w:hAnsi="Times New Roman" w:cs="Times New Roman"/>
          <w:sz w:val="24"/>
          <w:szCs w:val="24"/>
          <w:lang w:val="en-US"/>
        </w:rPr>
        <w:t xml:space="preserve">* and 1s </w:t>
      </w:r>
      <w:r w:rsidRPr="007F63DD">
        <w:rPr>
          <w:rFonts w:ascii="Times New Roman" w:hAnsi="Times New Roman" w:cs="Times New Roman"/>
          <w:sz w:val="24"/>
          <w:szCs w:val="24"/>
        </w:rPr>
        <w:sym w:font="Symbol" w:char="F0AE"/>
      </w:r>
      <w:r w:rsidRPr="007F63DD">
        <w:rPr>
          <w:rFonts w:ascii="Times New Roman" w:hAnsi="Times New Roman" w:cs="Times New Roman"/>
          <w:sz w:val="24"/>
          <w:szCs w:val="24"/>
          <w:lang w:val="en-US"/>
        </w:rPr>
        <w:t xml:space="preserve"> </w:t>
      </w:r>
      <w:r w:rsidRPr="007F63DD">
        <w:rPr>
          <w:rFonts w:ascii="Times New Roman" w:hAnsi="Times New Roman" w:cs="Times New Roman"/>
          <w:sz w:val="24"/>
          <w:szCs w:val="24"/>
        </w:rPr>
        <w:sym w:font="Symbol" w:char="F073"/>
      </w:r>
      <w:r w:rsidRPr="007F63DD">
        <w:rPr>
          <w:rFonts w:ascii="Times New Roman" w:hAnsi="Times New Roman" w:cs="Times New Roman"/>
          <w:sz w:val="24"/>
          <w:szCs w:val="24"/>
          <w:lang w:val="en-US"/>
        </w:rPr>
        <w:t xml:space="preserve">*, respectively. The low-loss spectra of all samples show the </w:t>
      </w:r>
      <w:r w:rsidRPr="007F63DD">
        <w:rPr>
          <w:rFonts w:ascii="Times New Roman" w:hAnsi="Times New Roman" w:cs="Times New Roman"/>
          <w:sz w:val="24"/>
          <w:szCs w:val="24"/>
        </w:rPr>
        <w:sym w:font="Symbol" w:char="F070"/>
      </w:r>
      <w:r w:rsidRPr="007F63DD">
        <w:rPr>
          <w:rFonts w:ascii="Times New Roman" w:hAnsi="Times New Roman" w:cs="Times New Roman"/>
          <w:sz w:val="24"/>
          <w:szCs w:val="24"/>
          <w:lang w:val="en-US"/>
        </w:rPr>
        <w:t xml:space="preserve"> plasmon peak revealing that the atomic structure should be composed by graphite layers, a feature further supported by the observed energy position for the bulk plasmon peak </w:t>
      </w:r>
      <w:r w:rsidRPr="007F63DD">
        <w:rPr>
          <w:rFonts w:ascii="Times New Roman" w:hAnsi="Times New Roman" w:cs="Times New Roman"/>
          <w:noProof/>
          <w:sz w:val="24"/>
          <w:szCs w:val="24"/>
          <w:lang w:val="en-US"/>
        </w:rPr>
        <w:t>[40]</w:t>
      </w:r>
      <w:r w:rsidRPr="007F63DD">
        <w:rPr>
          <w:rFonts w:ascii="Times New Roman" w:hAnsi="Times New Roman" w:cs="Times New Roman"/>
          <w:sz w:val="24"/>
          <w:szCs w:val="24"/>
          <w:lang w:val="en-US"/>
        </w:rPr>
        <w:t>. Note that this peak presents no differences in the energy scale between different samples. In the core-loss spectra these interpretations are further clarified. For C</w:t>
      </w:r>
      <w:r w:rsidRPr="007F63DD">
        <w:rPr>
          <w:rFonts w:ascii="Times New Roman" w:hAnsi="Times New Roman" w:cs="Times New Roman"/>
          <w:sz w:val="24"/>
          <w:szCs w:val="24"/>
          <w:vertAlign w:val="subscript"/>
          <w:lang w:val="en-US"/>
        </w:rPr>
        <w:t>1</w:t>
      </w:r>
      <w:r w:rsidRPr="007F63DD">
        <w:rPr>
          <w:rFonts w:ascii="Times New Roman" w:hAnsi="Times New Roman" w:cs="Times New Roman"/>
          <w:sz w:val="24"/>
          <w:szCs w:val="24"/>
          <w:lang w:val="en-US"/>
        </w:rPr>
        <w:t xml:space="preserve"> a clean graphite spectrum with all peculiarities reported for this compound is observed. The rest of samples are so-called “graphite like materials”. That is, materials composed by graphite layers in different extensions and more or less ordered. The extension and the degree of order is therefore the difference found between the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C</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and AC sample but difficult to quantify. </w:t>
      </w:r>
    </w:p>
    <w:p w:rsidR="005E3465" w:rsidRPr="007F63DD" w:rsidRDefault="005E3465" w:rsidP="00DB42D8">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The quantification of the amount of HCHO and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adsorbed by the raw materials was analyzed under dynamic conditions (Table 1, Figure 3). Regardless of the actual surface area of the carbonaceous materials, the amount of HCHO adsorbed is low, between 20-50 µmol g</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xml:space="preserve"> and depends on the BET area of the carbonaceous material. As shown in Table 1,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presents a great capacity to adsorb formaldehyde, with values of ca. 500 and 2,000 µmol g</w:t>
      </w:r>
      <w:r w:rsidRPr="007F63DD">
        <w:rPr>
          <w:rFonts w:ascii="Times New Roman" w:hAnsi="Times New Roman" w:cs="Times New Roman"/>
          <w:sz w:val="24"/>
          <w:szCs w:val="24"/>
          <w:vertAlign w:val="superscript"/>
          <w:lang w:val="en-US"/>
        </w:rPr>
        <w:t>-1</w:t>
      </w:r>
      <w:r w:rsidRPr="007F63DD">
        <w:rPr>
          <w:rFonts w:ascii="Times New Roman" w:hAnsi="Times New Roman" w:cs="Times New Roman"/>
          <w:sz w:val="24"/>
          <w:szCs w:val="24"/>
          <w:lang w:val="en-US"/>
        </w:rPr>
        <w:t xml:space="preserve"> for Ti-Xg and commercial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respectively. On the other hand, carbonaceous materials are able to adsorb large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amounts, following the order C</w:t>
      </w:r>
      <w:r w:rsidRPr="007F63DD">
        <w:rPr>
          <w:rFonts w:ascii="Times New Roman" w:hAnsi="Times New Roman" w:cs="Times New Roman"/>
          <w:sz w:val="24"/>
          <w:szCs w:val="24"/>
          <w:vertAlign w:val="subscript"/>
          <w:lang w:val="en-US"/>
        </w:rPr>
        <w:t>1</w:t>
      </w:r>
      <w:r w:rsidRPr="007F63DD">
        <w:rPr>
          <w:rFonts w:ascii="Times New Roman" w:hAnsi="Times New Roman" w:cs="Times New Roman"/>
          <w:sz w:val="24"/>
          <w:szCs w:val="24"/>
          <w:lang w:val="en-US"/>
        </w:rPr>
        <w:t>&lt; C</w:t>
      </w:r>
      <w:r w:rsidRPr="007F63DD">
        <w:rPr>
          <w:rFonts w:ascii="Times New Roman" w:hAnsi="Times New Roman" w:cs="Times New Roman"/>
          <w:sz w:val="24"/>
          <w:szCs w:val="24"/>
          <w:vertAlign w:val="subscript"/>
          <w:lang w:val="en-US"/>
        </w:rPr>
        <w:t xml:space="preserve">2 </w:t>
      </w:r>
      <w:r w:rsidRPr="007F63DD">
        <w:rPr>
          <w:rFonts w:ascii="Times New Roman" w:hAnsi="Times New Roman" w:cs="Times New Roman"/>
          <w:sz w:val="24"/>
          <w:szCs w:val="24"/>
          <w:lang w:val="en-US"/>
        </w:rPr>
        <w:t>&lt;&lt; AC &lt; C</w:t>
      </w:r>
      <w:r w:rsidRPr="007F63DD">
        <w:rPr>
          <w:rFonts w:ascii="Times New Roman" w:hAnsi="Times New Roman" w:cs="Times New Roman"/>
          <w:sz w:val="24"/>
          <w:szCs w:val="24"/>
          <w:vertAlign w:val="subscript"/>
          <w:lang w:val="en-US"/>
        </w:rPr>
        <w:t xml:space="preserve">3. </w:t>
      </w:r>
      <w:r w:rsidRPr="007F63DD">
        <w:rPr>
          <w:rFonts w:ascii="Times New Roman" w:hAnsi="Times New Roman" w:cs="Times New Roman"/>
          <w:sz w:val="24"/>
          <w:szCs w:val="24"/>
          <w:lang w:val="en-US"/>
        </w:rPr>
        <w:t>A good correlation between the microporous area/external area ratio with the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adsorption ability was found (inset to Fig. 3). The HCHO adsorbed on 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is higher than that on the carbonaceous materials due the adsorption properties of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Obviously, this effect is more pronounced for the C</w:t>
      </w:r>
      <w:r w:rsidRPr="007F63DD">
        <w:rPr>
          <w:rFonts w:ascii="Times New Roman" w:hAnsi="Times New Roman" w:cs="Times New Roman"/>
          <w:sz w:val="24"/>
          <w:szCs w:val="24"/>
          <w:vertAlign w:val="subscript"/>
          <w:lang w:val="en-US"/>
        </w:rPr>
        <w:t>x</w:t>
      </w:r>
      <w:r w:rsidRPr="007F63DD">
        <w:rPr>
          <w:rFonts w:ascii="Times New Roman" w:hAnsi="Times New Roman" w:cs="Times New Roman"/>
          <w:sz w:val="24"/>
          <w:szCs w:val="24"/>
          <w:lang w:val="en-US"/>
        </w:rPr>
        <w:t>Ti-</w:t>
      </w:r>
      <w:r w:rsidRPr="007F63DD">
        <w:rPr>
          <w:rFonts w:ascii="Times New Roman" w:hAnsi="Times New Roman" w:cs="Times New Roman"/>
          <w:i/>
          <w:sz w:val="24"/>
          <w:szCs w:val="24"/>
          <w:lang w:val="en-US"/>
        </w:rPr>
        <w:t>m</w:t>
      </w:r>
      <w:r w:rsidRPr="007F63DD">
        <w:rPr>
          <w:rFonts w:ascii="Times New Roman" w:hAnsi="Times New Roman" w:cs="Times New Roman"/>
          <w:sz w:val="24"/>
          <w:szCs w:val="24"/>
          <w:lang w:val="en-US"/>
        </w:rPr>
        <w:t xml:space="preserve"> samples due to the higher titanium oxide content of this series. As expected, the nature of the carbon material strongly affects the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HCl</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adsorption properties for C</w:t>
      </w:r>
      <w:r w:rsidRPr="007F63DD">
        <w:rPr>
          <w:rFonts w:ascii="Times New Roman" w:hAnsi="Times New Roman" w:cs="Times New Roman"/>
          <w:sz w:val="24"/>
          <w:szCs w:val="24"/>
          <w:vertAlign w:val="subscript"/>
          <w:lang w:val="en-US"/>
        </w:rPr>
        <w:t>x</w:t>
      </w:r>
      <w:r w:rsidRPr="007F63DD">
        <w:rPr>
          <w:rFonts w:ascii="Times New Roman" w:hAnsi="Times New Roman" w:cs="Times New Roman"/>
          <w:sz w:val="24"/>
          <w:szCs w:val="24"/>
          <w:lang w:val="en-US"/>
        </w:rPr>
        <w:t>Ti-</w:t>
      </w:r>
      <w:r w:rsidRPr="007F63DD">
        <w:rPr>
          <w:rFonts w:ascii="Times New Roman" w:hAnsi="Times New Roman" w:cs="Times New Roman"/>
          <w:i/>
          <w:sz w:val="24"/>
          <w:szCs w:val="24"/>
          <w:lang w:val="en-US"/>
        </w:rPr>
        <w:t>y</w:t>
      </w:r>
      <w:r w:rsidRPr="007F63DD">
        <w:rPr>
          <w:rFonts w:ascii="Times New Roman" w:hAnsi="Times New Roman" w:cs="Times New Roman"/>
          <w:sz w:val="24"/>
          <w:szCs w:val="24"/>
          <w:lang w:val="en-US"/>
        </w:rPr>
        <w:t xml:space="preserve">. </w:t>
      </w:r>
    </w:p>
    <w:p w:rsidR="005E3465" w:rsidRPr="007F63DD" w:rsidRDefault="005E3465" w:rsidP="001F3122">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lastRenderedPageBreak/>
        <w:t>The XRD patterns of C</w:t>
      </w:r>
      <w:r w:rsidRPr="007F63DD">
        <w:rPr>
          <w:rFonts w:ascii="Times New Roman" w:hAnsi="Times New Roman" w:cs="Times New Roman"/>
          <w:sz w:val="24"/>
          <w:szCs w:val="24"/>
          <w:vertAlign w:val="subscript"/>
          <w:lang w:val="en-US"/>
        </w:rPr>
        <w:t>x</w:t>
      </w:r>
      <w:r w:rsidRPr="007F63DD">
        <w:rPr>
          <w:rFonts w:ascii="Times New Roman" w:hAnsi="Times New Roman" w:cs="Times New Roman"/>
          <w:sz w:val="24"/>
          <w:szCs w:val="24"/>
          <w:lang w:val="en-US"/>
        </w:rPr>
        <w:t>Ti-</w:t>
      </w:r>
      <w:r w:rsidRPr="007F63DD">
        <w:rPr>
          <w:rFonts w:ascii="Times New Roman" w:hAnsi="Times New Roman" w:cs="Times New Roman"/>
          <w:i/>
          <w:sz w:val="24"/>
          <w:szCs w:val="24"/>
          <w:lang w:val="en-US"/>
        </w:rPr>
        <w:t>m</w:t>
      </w:r>
      <w:r w:rsidRPr="007F63DD">
        <w:rPr>
          <w:rFonts w:ascii="Times New Roman" w:hAnsi="Times New Roman" w:cs="Times New Roman"/>
          <w:sz w:val="24"/>
          <w:szCs w:val="24"/>
          <w:lang w:val="en-US"/>
        </w:rPr>
        <w:t xml:space="preserve"> and C</w:t>
      </w:r>
      <w:r w:rsidRPr="007F63DD">
        <w:rPr>
          <w:rFonts w:ascii="Times New Roman" w:hAnsi="Times New Roman" w:cs="Times New Roman"/>
          <w:sz w:val="24"/>
          <w:szCs w:val="24"/>
          <w:vertAlign w:val="subscript"/>
          <w:lang w:val="en-US"/>
        </w:rPr>
        <w:t>x</w:t>
      </w:r>
      <w:r w:rsidRPr="007F63DD">
        <w:rPr>
          <w:rFonts w:ascii="Times New Roman" w:hAnsi="Times New Roman" w:cs="Times New Roman"/>
          <w:sz w:val="24"/>
          <w:szCs w:val="24"/>
          <w:lang w:val="en-US"/>
        </w:rPr>
        <w:t>Ti-</w:t>
      </w:r>
      <w:r w:rsidRPr="007F63DD">
        <w:rPr>
          <w:rFonts w:ascii="Times New Roman" w:hAnsi="Times New Roman" w:cs="Times New Roman"/>
          <w:i/>
          <w:sz w:val="24"/>
          <w:szCs w:val="24"/>
          <w:lang w:val="en-US"/>
        </w:rPr>
        <w:t>i</w:t>
      </w:r>
      <w:r w:rsidRPr="007F63DD">
        <w:rPr>
          <w:rFonts w:ascii="Times New Roman" w:hAnsi="Times New Roman" w:cs="Times New Roman"/>
          <w:sz w:val="24"/>
          <w:szCs w:val="24"/>
          <w:lang w:val="en-US"/>
        </w:rPr>
        <w:t xml:space="preserve"> series are shown in Figs. 4a and b, respectively. The carbonaceous materials selected for this study have an amorphous structure (Fig. 4a). The powder patterns exhibit high background intensity, indicating that the material has a high degree of disorder or even that it is amorphous. In addition, the carbon also contains some graphite-like structures (crystalline carbon) responsible of the broad diffraction peak at ca. 26º and a well-defined peak for C</w:t>
      </w:r>
      <w:r w:rsidRPr="007F63DD">
        <w:rPr>
          <w:rFonts w:ascii="Times New Roman" w:hAnsi="Times New Roman" w:cs="Times New Roman"/>
          <w:sz w:val="24"/>
          <w:szCs w:val="24"/>
          <w:vertAlign w:val="subscript"/>
          <w:lang w:val="en-US"/>
        </w:rPr>
        <w:t>1</w:t>
      </w:r>
      <w:r w:rsidRPr="007F63DD">
        <w:rPr>
          <w:rFonts w:ascii="Times New Roman" w:hAnsi="Times New Roman" w:cs="Times New Roman"/>
          <w:sz w:val="24"/>
          <w:szCs w:val="24"/>
          <w:lang w:val="en-US"/>
        </w:rPr>
        <w:t>. The diffraction peak at 26º corresponds to the (</w:t>
      </w:r>
      <w:r w:rsidRPr="007F63DD">
        <w:rPr>
          <w:rFonts w:ascii="Times New Roman" w:hAnsi="Times New Roman" w:cs="Times New Roman"/>
          <w:i/>
          <w:sz w:val="24"/>
          <w:szCs w:val="24"/>
          <w:lang w:val="en-US"/>
        </w:rPr>
        <w:t>002)</w:t>
      </w:r>
      <w:r w:rsidRPr="007F63DD">
        <w:rPr>
          <w:rFonts w:ascii="Times New Roman" w:hAnsi="Times New Roman" w:cs="Times New Roman"/>
          <w:sz w:val="24"/>
          <w:szCs w:val="24"/>
          <w:lang w:val="en-US"/>
        </w:rPr>
        <w:t xml:space="preserve"> reflections of graphite carbon </w:t>
      </w:r>
      <w:r w:rsidRPr="007F63DD">
        <w:rPr>
          <w:rFonts w:ascii="Times New Roman" w:hAnsi="Times New Roman" w:cs="Times New Roman"/>
          <w:noProof/>
          <w:sz w:val="24"/>
          <w:szCs w:val="24"/>
          <w:lang w:val="en-US"/>
        </w:rPr>
        <w:t>[41]</w:t>
      </w:r>
      <w:r w:rsidRPr="007F63DD">
        <w:rPr>
          <w:rFonts w:ascii="Times New Roman" w:hAnsi="Times New Roman" w:cs="Times New Roman"/>
          <w:sz w:val="24"/>
          <w:szCs w:val="24"/>
          <w:lang w:val="en-US"/>
        </w:rPr>
        <w:t>. The commercial titania used for C</w:t>
      </w:r>
      <w:r w:rsidRPr="007F63DD">
        <w:rPr>
          <w:rFonts w:ascii="Times New Roman" w:hAnsi="Times New Roman" w:cs="Times New Roman"/>
          <w:sz w:val="24"/>
          <w:szCs w:val="24"/>
          <w:vertAlign w:val="subscript"/>
          <w:lang w:val="en-US"/>
        </w:rPr>
        <w:t>x</w:t>
      </w:r>
      <w:r w:rsidRPr="007F63DD">
        <w:rPr>
          <w:rFonts w:ascii="Times New Roman" w:hAnsi="Times New Roman" w:cs="Times New Roman"/>
          <w:sz w:val="24"/>
          <w:szCs w:val="24"/>
          <w:lang w:val="en-US"/>
        </w:rPr>
        <w:t>Ti-</w:t>
      </w:r>
      <w:r w:rsidRPr="007F63DD">
        <w:rPr>
          <w:rFonts w:ascii="Times New Roman" w:hAnsi="Times New Roman" w:cs="Times New Roman"/>
          <w:i/>
          <w:sz w:val="24"/>
          <w:szCs w:val="24"/>
          <w:lang w:val="en-US"/>
        </w:rPr>
        <w:t>m</w:t>
      </w:r>
      <w:r w:rsidRPr="007F63DD">
        <w:rPr>
          <w:rFonts w:ascii="Times New Roman" w:hAnsi="Times New Roman" w:cs="Times New Roman"/>
          <w:sz w:val="24"/>
          <w:szCs w:val="24"/>
          <w:lang w:val="en-US"/>
        </w:rPr>
        <w:t xml:space="preserve"> only contains the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with the anatase structure type. </w:t>
      </w:r>
    </w:p>
    <w:p w:rsidR="005E3465" w:rsidRPr="007F63DD" w:rsidRDefault="005E3465" w:rsidP="00801AE4">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The average crystallite size of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-anatase in the hybrids was determined from the position and breadth of the (101) diffraction peak. Using the Scherrer´s equation, the mean crystallite sizes of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-anatase in the hybrids ranged between 6 and 7 nm; a smaller value than the 15 nm of crystallites in the commercial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used as precursor. The unresolved peaks at 2</w:t>
      </w:r>
      <w:r w:rsidRPr="007F63DD">
        <w:rPr>
          <w:rFonts w:ascii="Times New Roman" w:hAnsi="Times New Roman" w:cs="Times New Roman"/>
          <w:sz w:val="24"/>
          <w:szCs w:val="24"/>
          <w:lang w:val="en-US"/>
        </w:rPr>
        <w:sym w:font="Symbol" w:char="F071"/>
      </w:r>
      <w:r w:rsidRPr="007F63DD">
        <w:rPr>
          <w:rFonts w:ascii="Times New Roman" w:hAnsi="Times New Roman" w:cs="Times New Roman"/>
          <w:sz w:val="24"/>
          <w:szCs w:val="24"/>
          <w:lang w:val="en-US"/>
        </w:rPr>
        <w:t xml:space="preserve"> values around 26 and 43º for the carbonaceous materials, which are overlapped with the diffractions belonging to anatase, are assigned to amorphous carbon </w:t>
      </w:r>
      <w:r w:rsidRPr="007F63DD">
        <w:rPr>
          <w:rFonts w:ascii="Times New Roman" w:hAnsi="Times New Roman" w:cs="Times New Roman"/>
          <w:noProof/>
          <w:sz w:val="24"/>
          <w:szCs w:val="24"/>
          <w:lang w:val="en-US"/>
        </w:rPr>
        <w:t>[42]</w:t>
      </w:r>
      <w:r w:rsidRPr="007F63DD">
        <w:rPr>
          <w:rFonts w:ascii="Times New Roman" w:hAnsi="Times New Roman" w:cs="Times New Roman"/>
          <w:sz w:val="24"/>
          <w:szCs w:val="24"/>
          <w:lang w:val="en-US"/>
        </w:rPr>
        <w:t>.</w:t>
      </w:r>
    </w:p>
    <w:p w:rsidR="005E3465" w:rsidRPr="007F63DD" w:rsidRDefault="005E3465" w:rsidP="008D36D7">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The XRD patterns of the samples prepared by incipient wet impregnation and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xerogel are shown in Fig. 4b. The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xerogel is characterized by the presence of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-anatase (JCPDS, No. 21-1272) with (101) (004) (200) facets,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-rutile (JCPDS, No. 21-1276) with (110) (101) facets and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-brookite (JCPDS, No. 29-1360) with (121) facet </w:t>
      </w:r>
      <w:r w:rsidRPr="007F63DD">
        <w:rPr>
          <w:rFonts w:ascii="Times New Roman" w:hAnsi="Times New Roman" w:cs="Times New Roman"/>
          <w:noProof/>
          <w:sz w:val="24"/>
          <w:szCs w:val="24"/>
          <w:lang w:val="en-US"/>
        </w:rPr>
        <w:t>[43]</w:t>
      </w:r>
      <w:r w:rsidRPr="007F63DD">
        <w:rPr>
          <w:rFonts w:ascii="Times New Roman" w:hAnsi="Times New Roman" w:cs="Times New Roman"/>
          <w:sz w:val="24"/>
          <w:szCs w:val="24"/>
          <w:lang w:val="en-US"/>
        </w:rPr>
        <w:t>. Nevertheless,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-anatase phase is the main crystal phase detected in the XRD patterns of the C</w:t>
      </w:r>
      <w:r w:rsidRPr="007F63DD">
        <w:rPr>
          <w:rFonts w:ascii="Times New Roman" w:hAnsi="Times New Roman" w:cs="Times New Roman"/>
          <w:sz w:val="24"/>
          <w:szCs w:val="24"/>
          <w:vertAlign w:val="subscript"/>
          <w:lang w:val="en-US"/>
        </w:rPr>
        <w:t>x</w:t>
      </w:r>
      <w:r w:rsidRPr="007F63DD">
        <w:rPr>
          <w:rFonts w:ascii="Times New Roman" w:hAnsi="Times New Roman" w:cs="Times New Roman"/>
          <w:sz w:val="24"/>
          <w:szCs w:val="24"/>
          <w:lang w:val="en-US"/>
        </w:rPr>
        <w:t>Ti-</w:t>
      </w:r>
      <w:r w:rsidRPr="007F63DD">
        <w:rPr>
          <w:rFonts w:ascii="Times New Roman" w:hAnsi="Times New Roman" w:cs="Times New Roman"/>
          <w:i/>
          <w:sz w:val="24"/>
          <w:szCs w:val="24"/>
          <w:lang w:val="en-US"/>
        </w:rPr>
        <w:t>i</w:t>
      </w:r>
      <w:r w:rsidRPr="007F63DD">
        <w:rPr>
          <w:rFonts w:ascii="Times New Roman" w:hAnsi="Times New Roman" w:cs="Times New Roman"/>
          <w:sz w:val="24"/>
          <w:szCs w:val="24"/>
          <w:lang w:val="en-US"/>
        </w:rPr>
        <w:t xml:space="preserve"> series. Again the intensity of the XRD peaks of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in the hybrids is significantly smaller, after being incorporated into the carbonaceous materials, attributed to a dilution effect the by means of the presence of coals </w:t>
      </w:r>
      <w:r w:rsidRPr="007F63DD">
        <w:rPr>
          <w:rFonts w:ascii="Times New Roman" w:hAnsi="Times New Roman" w:cs="Times New Roman"/>
          <w:noProof/>
          <w:sz w:val="24"/>
          <w:szCs w:val="24"/>
          <w:lang w:val="en-US"/>
        </w:rPr>
        <w:t>[44]</w:t>
      </w:r>
      <w:r w:rsidRPr="007F63DD">
        <w:rPr>
          <w:rFonts w:ascii="Times New Roman" w:hAnsi="Times New Roman" w:cs="Times New Roman"/>
          <w:sz w:val="24"/>
          <w:szCs w:val="24"/>
          <w:lang w:val="en-US"/>
        </w:rPr>
        <w:t xml:space="preserve">. </w:t>
      </w:r>
    </w:p>
    <w:p w:rsidR="005E3465" w:rsidRPr="007F63DD" w:rsidRDefault="005E3465" w:rsidP="00F940A1">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In order to determine the hydrophilic-hydrophobic nature of the carbonaceous materials, the contact angle of a sessile water drop was measured. The images obtained for C</w:t>
      </w:r>
      <w:r w:rsidRPr="007F63DD">
        <w:rPr>
          <w:rFonts w:ascii="Times New Roman" w:hAnsi="Times New Roman" w:cs="Times New Roman"/>
          <w:sz w:val="24"/>
          <w:szCs w:val="24"/>
          <w:vertAlign w:val="subscript"/>
          <w:lang w:val="en-US"/>
        </w:rPr>
        <w:t>1</w:t>
      </w:r>
      <w:r w:rsidRPr="007F63DD">
        <w:rPr>
          <w:rFonts w:ascii="Times New Roman" w:hAnsi="Times New Roman" w:cs="Times New Roman"/>
          <w:sz w:val="24"/>
          <w:szCs w:val="24"/>
          <w:lang w:val="en-US"/>
        </w:rPr>
        <w:t>, C</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and AC are shown in Fig. 5. The contact angle was determined using the Y-L method. Contact angles ranging between 0º and 146º were calculated, the actual value depending on the nature of the carbonaceous material. Small contact angles (&lt; 90°) indicate high wettability, while large contact angles (&gt; 90°) are indicative of low wettability surfaces </w:t>
      </w:r>
      <w:r w:rsidRPr="007F63DD">
        <w:rPr>
          <w:rFonts w:ascii="Times New Roman" w:hAnsi="Times New Roman" w:cs="Times New Roman"/>
          <w:noProof/>
          <w:sz w:val="24"/>
          <w:szCs w:val="24"/>
          <w:lang w:val="en-US"/>
        </w:rPr>
        <w:t>[45]</w:t>
      </w:r>
      <w:r w:rsidRPr="007F63DD">
        <w:rPr>
          <w:rFonts w:ascii="Times New Roman" w:hAnsi="Times New Roman" w:cs="Times New Roman"/>
          <w:sz w:val="24"/>
          <w:szCs w:val="24"/>
          <w:lang w:val="en-US"/>
        </w:rPr>
        <w:t>.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is the most hydrophilic carbon, since the drop is fully adsorbed in the material very fast. In fact, is was not possible to determine the contact angle. Activated carbon (AC) showed an angle of 51º and it is therefore considered as a hydrophilic material. On </w:t>
      </w:r>
      <w:r w:rsidRPr="007F63DD">
        <w:rPr>
          <w:rFonts w:ascii="Times New Roman" w:hAnsi="Times New Roman" w:cs="Times New Roman"/>
          <w:sz w:val="24"/>
          <w:szCs w:val="24"/>
          <w:lang w:val="en-US"/>
        </w:rPr>
        <w:lastRenderedPageBreak/>
        <w:t>the other hand, C</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 xml:space="preserve"> is a hydrophobic material with a contact angle of 143º. Thus, the hydrophobic nature follows the order: C</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&lt; AC &lt; C</w:t>
      </w:r>
      <w:r w:rsidRPr="007F63DD">
        <w:rPr>
          <w:rFonts w:ascii="Times New Roman" w:hAnsi="Times New Roman" w:cs="Times New Roman"/>
          <w:sz w:val="24"/>
          <w:szCs w:val="24"/>
          <w:vertAlign w:val="subscript"/>
          <w:lang w:val="en-US"/>
        </w:rPr>
        <w:t>1</w:t>
      </w:r>
      <w:r w:rsidRPr="007F63DD">
        <w:rPr>
          <w:rFonts w:ascii="Times New Roman" w:hAnsi="Times New Roman" w:cs="Times New Roman"/>
          <w:sz w:val="24"/>
          <w:szCs w:val="24"/>
          <w:lang w:val="en-US"/>
        </w:rPr>
        <w:t xml:space="preserve"> &lt; C</w:t>
      </w:r>
      <w:r w:rsidRPr="007F63DD">
        <w:rPr>
          <w:rFonts w:ascii="Times New Roman" w:hAnsi="Times New Roman" w:cs="Times New Roman"/>
          <w:sz w:val="24"/>
          <w:szCs w:val="24"/>
          <w:vertAlign w:val="subscript"/>
          <w:lang w:val="en-US"/>
        </w:rPr>
        <w:t>3</w:t>
      </w:r>
      <w:r w:rsidRPr="007F63DD">
        <w:rPr>
          <w:rFonts w:ascii="Times New Roman" w:hAnsi="Times New Roman" w:cs="Times New Roman"/>
          <w:sz w:val="24"/>
          <w:szCs w:val="24"/>
          <w:lang w:val="en-US"/>
        </w:rPr>
        <w:t>.</w:t>
      </w:r>
    </w:p>
    <w:p w:rsidR="005E3465" w:rsidRPr="007F63DD" w:rsidRDefault="005E3465" w:rsidP="006A373B">
      <w:pPr>
        <w:pStyle w:val="Prrafodelista"/>
        <w:numPr>
          <w:ilvl w:val="1"/>
          <w:numId w:val="12"/>
        </w:numPr>
        <w:jc w:val="both"/>
        <w:rPr>
          <w:rFonts w:ascii="Times New Roman" w:hAnsi="Times New Roman" w:cs="Times New Roman"/>
          <w:i/>
          <w:sz w:val="24"/>
          <w:szCs w:val="24"/>
          <w:lang w:val="en-GB"/>
        </w:rPr>
      </w:pPr>
      <w:r w:rsidRPr="007F63DD">
        <w:rPr>
          <w:rFonts w:ascii="Times New Roman" w:hAnsi="Times New Roman" w:cs="Times New Roman"/>
          <w:i/>
          <w:sz w:val="24"/>
          <w:szCs w:val="24"/>
          <w:lang w:val="en-US"/>
        </w:rPr>
        <w:t>Influence of the preparation method on the photocatalytic activity</w:t>
      </w:r>
    </w:p>
    <w:p w:rsidR="005E3465" w:rsidRPr="007F63DD" w:rsidRDefault="005E3465" w:rsidP="0050387D">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The photocatalytic performance of the hybrid materials prepared by mechanical mixing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and incipient wet impregnation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for formaldehyde abatement was evaluated. The results are shown in Fig. 6 for 700 mL min</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xml:space="preserve"> total gas flow. In all experiments, HCHO was completely mineralized to CO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which is the only product detected in the reactor outlet. The results reveal the highest photocatalytic conversion of the samples prepared by </w:t>
      </w:r>
      <w:r w:rsidRPr="007F63DD">
        <w:rPr>
          <w:rFonts w:ascii="Times New Roman" w:hAnsi="Times New Roman" w:cs="Times New Roman"/>
          <w:i/>
          <w:sz w:val="24"/>
          <w:szCs w:val="24"/>
          <w:lang w:val="en-GB"/>
        </w:rPr>
        <w:t xml:space="preserve">mechanical mixing </w:t>
      </w:r>
      <w:r w:rsidRPr="007F63DD">
        <w:rPr>
          <w:rFonts w:ascii="Times New Roman" w:hAnsi="Times New Roman" w:cs="Times New Roman"/>
          <w:sz w:val="24"/>
          <w:szCs w:val="24"/>
          <w:lang w:val="en-GB"/>
        </w:rPr>
        <w:t>as compared to those prepared by</w:t>
      </w:r>
      <w:r w:rsidRPr="007F63DD">
        <w:rPr>
          <w:rFonts w:ascii="Times New Roman" w:hAnsi="Times New Roman" w:cs="Times New Roman"/>
          <w:i/>
          <w:sz w:val="24"/>
          <w:szCs w:val="24"/>
          <w:lang w:val="en-GB"/>
        </w:rPr>
        <w:t xml:space="preserve"> incipient wet impregnation</w:t>
      </w:r>
      <w:r w:rsidRPr="007F63DD">
        <w:rPr>
          <w:rFonts w:ascii="Times New Roman" w:hAnsi="Times New Roman" w:cs="Times New Roman"/>
          <w:sz w:val="24"/>
          <w:szCs w:val="24"/>
          <w:lang w:val="en-GB"/>
        </w:rPr>
        <w:t>. In fact,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and ACTi-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do not show any photocatalytic activity, in spite of the high BET area of the latter. The materials studied display low HCHO adsorption values. This feature can be related to the low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content on the materials, since HCHO is preferentially adsorbed on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anatase (001) surfaces </w:t>
      </w:r>
      <w:r w:rsidRPr="007F63DD">
        <w:rPr>
          <w:rFonts w:ascii="Times New Roman" w:hAnsi="Times New Roman" w:cs="Times New Roman"/>
          <w:noProof/>
          <w:sz w:val="24"/>
          <w:szCs w:val="24"/>
          <w:lang w:val="en-GB"/>
        </w:rPr>
        <w:t>[46]</w:t>
      </w:r>
      <w:r w:rsidRPr="007F63DD">
        <w:rPr>
          <w:rFonts w:ascii="Times New Roman" w:hAnsi="Times New Roman" w:cs="Times New Roman"/>
          <w:sz w:val="24"/>
          <w:szCs w:val="24"/>
          <w:lang w:val="en-GB"/>
        </w:rPr>
        <w:t>. It is worth to remark the high HCHO conversion value obtained with the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samples, with values near 90 % for most of the samples. The higher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content in the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materials compared to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should be considered to explain these results. Due to its low surface area and HCHO adsorption ability,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displays the lowest photocatalytic activity in the series. Higher HCHO reaction rates were observed for ACTi-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hybrid exhibited the best photocatalytic performance for HCHO removal. Neither the actual BET areas nor the amount of HCHO adsorbed on the hybrid appear to be the most relevant features to inform the photocatalytic activity for the composites. For instance, whereas ACTi-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displays the highest surface area and higher HCHO adsorption ability in the series, records a moderate HCHOH mineralization activity, ca. 25 % lower than that of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These results suggest that surface area and adsorption ability are not main parameters affecting the photocatalytic reaction. A recent study reported in the literature, shows the good performance of carbon cloths supported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for HCHO indoor air abatement, reaching conversions near 90 % </w:t>
      </w:r>
      <w:r w:rsidRPr="007F63DD">
        <w:rPr>
          <w:rFonts w:ascii="Times New Roman" w:hAnsi="Times New Roman" w:cs="Times New Roman"/>
          <w:noProof/>
          <w:sz w:val="24"/>
          <w:szCs w:val="24"/>
          <w:lang w:val="en-GB"/>
        </w:rPr>
        <w:t>[47]</w:t>
      </w:r>
      <w:r w:rsidRPr="007F63DD">
        <w:rPr>
          <w:rFonts w:ascii="Times New Roman" w:hAnsi="Times New Roman" w:cs="Times New Roman"/>
          <w:sz w:val="24"/>
          <w:szCs w:val="24"/>
          <w:lang w:val="en-GB"/>
        </w:rPr>
        <w:t xml:space="preserve">. Obviously, for a proper comparison of the photocatalytic efficiency, differences in the operating conditions should be taken into account. </w:t>
      </w:r>
      <w:bookmarkStart w:id="3" w:name="_Hlk71312777"/>
      <w:r w:rsidRPr="007F63DD">
        <w:rPr>
          <w:rFonts w:ascii="Times New Roman" w:hAnsi="Times New Roman" w:cs="Times New Roman"/>
          <w:sz w:val="24"/>
          <w:szCs w:val="24"/>
          <w:lang w:val="en-GB"/>
        </w:rPr>
        <w:t>The apparent constant k</w:t>
      </w:r>
      <w:r w:rsidRPr="007F63DD">
        <w:rPr>
          <w:rFonts w:ascii="Times New Roman" w:hAnsi="Times New Roman" w:cs="Times New Roman"/>
          <w:i/>
          <w:sz w:val="24"/>
          <w:szCs w:val="24"/>
          <w:vertAlign w:val="subscript"/>
          <w:lang w:val="en-GB"/>
        </w:rPr>
        <w:t>ap</w:t>
      </w:r>
      <w:r w:rsidRPr="007F63DD">
        <w:rPr>
          <w:rFonts w:ascii="Times New Roman" w:hAnsi="Times New Roman" w:cs="Times New Roman"/>
          <w:sz w:val="24"/>
          <w:szCs w:val="24"/>
          <w:lang w:val="en-GB"/>
        </w:rPr>
        <w:t xml:space="preserve"> was calculated by considering a pseudo first order reaction. Thus, Ln (1- (C</w:t>
      </w:r>
      <w:r w:rsidRPr="007F63DD">
        <w:rPr>
          <w:rFonts w:ascii="Times New Roman" w:hAnsi="Times New Roman" w:cs="Times New Roman"/>
          <w:sz w:val="24"/>
          <w:szCs w:val="24"/>
          <w:vertAlign w:val="subscript"/>
          <w:lang w:val="en-GB"/>
        </w:rPr>
        <w:t>0</w:t>
      </w:r>
      <w:r w:rsidRPr="007F63DD">
        <w:rPr>
          <w:rFonts w:ascii="Times New Roman" w:hAnsi="Times New Roman" w:cs="Times New Roman"/>
          <w:sz w:val="24"/>
          <w:szCs w:val="24"/>
          <w:lang w:val="en-GB"/>
        </w:rPr>
        <w:t>-C/C</w:t>
      </w:r>
      <w:r w:rsidRPr="007F63DD">
        <w:rPr>
          <w:rFonts w:ascii="Times New Roman" w:hAnsi="Times New Roman" w:cs="Times New Roman"/>
          <w:sz w:val="24"/>
          <w:szCs w:val="24"/>
          <w:vertAlign w:val="subscript"/>
          <w:lang w:val="en-GB"/>
        </w:rPr>
        <w:t>0</w:t>
      </w:r>
      <w:r w:rsidRPr="007F63DD">
        <w:rPr>
          <w:rFonts w:ascii="Times New Roman" w:hAnsi="Times New Roman" w:cs="Times New Roman"/>
          <w:sz w:val="24"/>
          <w:szCs w:val="24"/>
          <w:lang w:val="en-GB"/>
        </w:rPr>
        <w:t xml:space="preserve">)) </w:t>
      </w:r>
      <w:r w:rsidRPr="007F63DD">
        <w:rPr>
          <w:rFonts w:ascii="Times New Roman" w:hAnsi="Times New Roman" w:cs="Times New Roman"/>
          <w:i/>
          <w:sz w:val="24"/>
          <w:szCs w:val="24"/>
          <w:lang w:val="en-GB"/>
        </w:rPr>
        <w:t>vs.</w:t>
      </w:r>
      <w:r w:rsidRPr="007F63DD">
        <w:rPr>
          <w:rFonts w:ascii="Times New Roman" w:hAnsi="Times New Roman" w:cs="Times New Roman"/>
          <w:sz w:val="24"/>
          <w:szCs w:val="24"/>
          <w:lang w:val="en-GB"/>
        </w:rPr>
        <w:t xml:space="preserve"> the residence time (t</w:t>
      </w:r>
      <w:r w:rsidRPr="007F63DD">
        <w:rPr>
          <w:rFonts w:ascii="Times New Roman" w:hAnsi="Times New Roman" w:cs="Times New Roman"/>
          <w:i/>
          <w:sz w:val="24"/>
          <w:szCs w:val="24"/>
          <w:vertAlign w:val="subscript"/>
          <w:lang w:val="en-GB"/>
        </w:rPr>
        <w:t>r</w:t>
      </w:r>
      <w:r w:rsidRPr="007F63DD">
        <w:rPr>
          <w:rFonts w:ascii="Times New Roman" w:hAnsi="Times New Roman" w:cs="Times New Roman"/>
          <w:sz w:val="24"/>
          <w:szCs w:val="24"/>
          <w:lang w:val="en-GB"/>
        </w:rPr>
        <w:t>), was represented in SI Fig. 3, where C</w:t>
      </w:r>
      <w:r w:rsidRPr="007F63DD">
        <w:rPr>
          <w:rFonts w:ascii="Times New Roman" w:hAnsi="Times New Roman" w:cs="Times New Roman"/>
          <w:sz w:val="24"/>
          <w:szCs w:val="24"/>
          <w:vertAlign w:val="subscript"/>
          <w:lang w:val="en-GB"/>
        </w:rPr>
        <w:t>0</w:t>
      </w:r>
      <w:r w:rsidRPr="007F63DD">
        <w:rPr>
          <w:rFonts w:ascii="Times New Roman" w:hAnsi="Times New Roman" w:cs="Times New Roman"/>
          <w:sz w:val="24"/>
          <w:szCs w:val="24"/>
          <w:lang w:val="en-GB"/>
        </w:rPr>
        <w:t xml:space="preserve"> is the initial pollutant concentration and C is the concentration at steady state conditions at the different gas flows studied in this work.</w:t>
      </w:r>
      <w:bookmarkEnd w:id="3"/>
      <w:r w:rsidRPr="007F63DD">
        <w:rPr>
          <w:rFonts w:ascii="Times New Roman" w:hAnsi="Times New Roman" w:cs="Times New Roman"/>
          <w:sz w:val="24"/>
          <w:szCs w:val="24"/>
          <w:lang w:val="en-GB"/>
        </w:rPr>
        <w:t xml:space="preserve"> k</w:t>
      </w:r>
      <w:r w:rsidRPr="007F63DD">
        <w:rPr>
          <w:rFonts w:ascii="Times New Roman" w:hAnsi="Times New Roman" w:cs="Times New Roman"/>
          <w:i/>
          <w:sz w:val="24"/>
          <w:szCs w:val="24"/>
          <w:vertAlign w:val="subscript"/>
          <w:lang w:val="en-GB"/>
        </w:rPr>
        <w:t>ap</w:t>
      </w:r>
      <w:r w:rsidRPr="007F63DD">
        <w:rPr>
          <w:rFonts w:ascii="Times New Roman" w:hAnsi="Times New Roman" w:cs="Times New Roman"/>
          <w:sz w:val="24"/>
          <w:szCs w:val="24"/>
          <w:lang w:val="en-GB"/>
        </w:rPr>
        <w:t xml:space="preserve"> values of 3.27 s</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xml:space="preserve"> and 4.07 s</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xml:space="preserve"> were obtained </w:t>
      </w:r>
      <w:r w:rsidRPr="007F63DD">
        <w:rPr>
          <w:rFonts w:ascii="Times New Roman" w:hAnsi="Times New Roman" w:cs="Times New Roman"/>
          <w:sz w:val="24"/>
          <w:szCs w:val="24"/>
          <w:lang w:val="en-GB"/>
        </w:rPr>
        <w:lastRenderedPageBreak/>
        <w:t>for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hybrids, respectively. A value of 2.08 s</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xml:space="preserve"> was found for bare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The reaction kinetics could be explained by considering the Langmuir-Hinshelwood (LH) model </w:t>
      </w:r>
      <w:r w:rsidRPr="007F63DD">
        <w:rPr>
          <w:rFonts w:ascii="Times New Roman" w:hAnsi="Times New Roman" w:cs="Times New Roman"/>
          <w:noProof/>
          <w:sz w:val="24"/>
          <w:szCs w:val="24"/>
          <w:lang w:val="en-GB"/>
        </w:rPr>
        <w:t>[48]</w:t>
      </w:r>
      <w:r w:rsidRPr="007F63DD">
        <w:rPr>
          <w:rFonts w:ascii="Times New Roman" w:hAnsi="Times New Roman" w:cs="Times New Roman"/>
          <w:sz w:val="24"/>
          <w:szCs w:val="24"/>
          <w:lang w:val="en-GB"/>
        </w:rPr>
        <w:t>. Based upon this model, the adsorption of the HCHO molecules onto the active sites is considered the rate-limiting step. Nevertheless, diffusion phenomena of reactive and reaction intermediates to the carbonaceous materials-TiO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and </w:t>
      </w:r>
      <w:r w:rsidRPr="007F63DD">
        <w:rPr>
          <w:rFonts w:ascii="Times New Roman" w:hAnsi="Times New Roman" w:cs="Times New Roman"/>
          <w:i/>
          <w:sz w:val="24"/>
          <w:szCs w:val="24"/>
          <w:lang w:val="en-GB"/>
        </w:rPr>
        <w:t>vice versa</w:t>
      </w:r>
      <w:r w:rsidRPr="007F63DD">
        <w:rPr>
          <w:rFonts w:ascii="Times New Roman" w:hAnsi="Times New Roman" w:cs="Times New Roman"/>
          <w:sz w:val="24"/>
          <w:szCs w:val="24"/>
          <w:lang w:val="en-GB"/>
        </w:rPr>
        <w:t xml:space="preserve"> cannot be ruled out.</w:t>
      </w:r>
    </w:p>
    <w:p w:rsidR="005E3465" w:rsidRPr="007F63DD" w:rsidRDefault="005E3465" w:rsidP="0050387D">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All carbon/TiO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hybrids were analysed by SEM-XEDS microscopy. Representative micrographs for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hybrids are shown in Figs. 7 a, c, e, g and Figs. 7 b, d, f, h, respectively. Spherical carbon particles with some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clusters heterogeneously distributed on the surface can be observed in the images for ACTi-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and especially for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In the case of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no titania particles were detected at the carbon surface, even though XEDS analysis indicate the presence of titanium (Fig 7b inside). These findings suggest that a fraction of the titania nanoparticles could be located inside the pore structure of the mesoporous carbons, therefore preventing the photons from reaching those titania particles. The adsorption of the UV-A photons by carbons should be also considered in order to explain the photocatalytic results, especially for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w:t>
      </w:r>
    </w:p>
    <w:p w:rsidR="005E3465" w:rsidRPr="007F63DD" w:rsidRDefault="005E3465" w:rsidP="0050387D">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On the other hand,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nanoparticles of about 20 nm aggregate rendering agglomerates of 500 nm, are observed in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 xml:space="preserve">m </w:t>
      </w:r>
      <w:r w:rsidRPr="007F63DD">
        <w:rPr>
          <w:rFonts w:ascii="Times New Roman" w:hAnsi="Times New Roman" w:cs="Times New Roman"/>
          <w:sz w:val="24"/>
          <w:szCs w:val="24"/>
          <w:lang w:val="en-GB"/>
        </w:rPr>
        <w:t>(Fig. 7 a,c,e,g). These large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clusters are located at the surface of the carbons and cannot penetrate inside the porous structure of the carbon probably due to steric factors. Micrographs for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hybrids also show a homogeneous distribution of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aggregates of ca. 1 </w:t>
      </w:r>
      <w:r w:rsidRPr="007F63DD">
        <w:rPr>
          <w:rFonts w:ascii="Symbol" w:hAnsi="Symbol" w:cs="Times New Roman"/>
          <w:sz w:val="24"/>
          <w:szCs w:val="24"/>
          <w:lang w:val="en-GB"/>
        </w:rPr>
        <w:t></w:t>
      </w:r>
      <w:r w:rsidRPr="007F63DD">
        <w:rPr>
          <w:rFonts w:ascii="Times New Roman" w:hAnsi="Times New Roman" w:cs="Times New Roman"/>
          <w:sz w:val="24"/>
          <w:szCs w:val="24"/>
          <w:lang w:val="en-GB"/>
        </w:rPr>
        <w:t xml:space="preserve">m and 500 nm average sizes. </w:t>
      </w:r>
    </w:p>
    <w:p w:rsidR="005E3465" w:rsidRPr="007F63DD" w:rsidRDefault="005E3465" w:rsidP="0050387D">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In a previous work, zeolites/TiO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hybrids prepared with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nanoparticles by incipient impregnation method were studied. These materials showed HCHO conversion values ca. 90 % </w:t>
      </w:r>
      <w:r w:rsidRPr="007F63DD">
        <w:rPr>
          <w:rFonts w:ascii="Times New Roman" w:hAnsi="Times New Roman" w:cs="Times New Roman"/>
          <w:noProof/>
          <w:sz w:val="24"/>
          <w:szCs w:val="24"/>
          <w:lang w:val="en-GB"/>
        </w:rPr>
        <w:t>[10]</w:t>
      </w:r>
      <w:r w:rsidRPr="007F63DD">
        <w:rPr>
          <w:rFonts w:ascii="Times New Roman" w:hAnsi="Times New Roman" w:cs="Times New Roman"/>
          <w:sz w:val="24"/>
          <w:szCs w:val="24"/>
          <w:lang w:val="en-GB"/>
        </w:rPr>
        <w:t>. Due to the hierarchical microporous structure of the zeolitic materials,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nanoparticles remain on the zeolitic surface, well outside of the zeolitic structure. Moreover, and in contrast to carbonaceous materials, siliceous materials are transparent to the UV radiation, and therefore they can adsorb a great fraction of the UV-A radiation. These results indicate that mechanical mixing is a simple and economic method to prepare carbon/TiO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extruded cylinders.</w:t>
      </w:r>
    </w:p>
    <w:p w:rsidR="005E3465" w:rsidRPr="007F63DD" w:rsidRDefault="005E3465" w:rsidP="00A76E3D">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lastRenderedPageBreak/>
        <w:t>The UV-Vis light adsorption properties of the raw materials and composites were analysed by diffuse reflectance spectroscopy. The incorporation of an 8 wt.% of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on the carbonaceous materials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does not modify the UV-Vis spectra of the carbonaceous compounds, see Fig. 8a. The low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content and the location of a fraction of titania nanoparticles inside the porous structure, could explain this behaviour. Fig. 8b shows the Kubelka-Munk function for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samples along with that of commercial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Carbonaceous materials present adsorption bands in the UV-visible region of the spectra. The incorporation of 50 %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leads to a visible peak between 300-400 nm characteristic of titania. The strong adsorption of carbonaceous materials prevents the accurate determination of the band-gap energy of the composites. None of the samples display photocatalytic activity under low Vis light, in spite of the adsorption of light in the visible region. </w:t>
      </w:r>
    </w:p>
    <w:p w:rsidR="005E3465" w:rsidRPr="007F63DD" w:rsidRDefault="005E3465" w:rsidP="00D11F24">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A key fact to understand the photocatalytic results obtained in this work is the location of the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particles with respect to the carbonaceous material. Obviously, there are three possible locations of the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particles: i) on the surface, ii) inside the porous structure or iii) in both places. In order to determine the location of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particle, HRTEM analysis were carried out. A representative example of the results obtained for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hybrids are shown in Fig. 9. Regarding the dispersion of the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particles, HRTEM images showed differences, sometimes very faint, between the samples. Even through electron microscopy is extremely powerful for the analysis of the atomic structure, the connection of the observed local structure with the properties at macroscopic level must be done carefully and the present case is a good example. To discern between these possibilities, the images from the transmission electron microscopes side by side, have been compared (Fig 9). In Fig. 9a and 9b, HRTEM images for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Ti-m, respectively are shown. At it is seen in Fig. 9a the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nanoparticles (some of them are arrowed in the image) are located in the internal part of the carbon structure. No fringes at all from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are observed in them, while the typical fringes from the graphite like structure are clearly observed. This is nonetheless difficult to infer just by looking at the image in Fig. 9a. It helps to compare with the image in Fig. 9b where the particles (see the arrows) show the expected fringes from the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crystalline structure. However, the final proof is that when working with the microscope, the fringes never appear when changing the focus condition of the objective lens. That is due to the carbon particles have above and below with respect to </w:t>
      </w:r>
      <w:r w:rsidRPr="007F63DD">
        <w:rPr>
          <w:rFonts w:ascii="Times New Roman" w:hAnsi="Times New Roman" w:cs="Times New Roman"/>
          <w:sz w:val="24"/>
          <w:szCs w:val="24"/>
          <w:lang w:val="en-GB"/>
        </w:rPr>
        <w:lastRenderedPageBreak/>
        <w:t>the incident beam of electrons. In the case of having a number of nanoparticles right at the surface we should easily find them in the very same way as we see in Fig. 9b. This is rarely found for samples prepared by incipient wet impregnation and always observed by the ones prepared by mechanical dispersion. Nonetheless, this conclusion was supported by studying the images out of the scanning microscope. The image in Fig. 7b shows clean surfaces while in Fig. 7a,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nanoparticles are observed. Note that the XEDS analysis in Fig. 7b shows the presence of titanium. </w:t>
      </w:r>
    </w:p>
    <w:p w:rsidR="005E3465" w:rsidRPr="007F63DD" w:rsidRDefault="005E3465" w:rsidP="00D11F24">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The C 1s and Ti 2p core-level spectra for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y</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y</w:t>
      </w:r>
      <w:r w:rsidRPr="007F63DD">
        <w:rPr>
          <w:rFonts w:ascii="Times New Roman" w:hAnsi="Times New Roman" w:cs="Times New Roman"/>
          <w:sz w:val="24"/>
          <w:szCs w:val="24"/>
          <w:lang w:val="en-GB"/>
        </w:rPr>
        <w:t xml:space="preserve"> series have been analysed by XPS. </w:t>
      </w:r>
      <w:bookmarkStart w:id="4" w:name="_Hlk71313430"/>
      <w:r w:rsidRPr="007F63DD">
        <w:rPr>
          <w:rFonts w:ascii="Times New Roman" w:hAnsi="Times New Roman" w:cs="Times New Roman"/>
          <w:sz w:val="24"/>
          <w:szCs w:val="24"/>
          <w:lang w:val="en-GB"/>
        </w:rPr>
        <w:t xml:space="preserve">All samples display similar C1s core-level spectra, showing an intense peak at 284.6 eV ascribed to graphitic carbon (SI Fig. 4). </w:t>
      </w:r>
      <w:bookmarkEnd w:id="4"/>
      <w:r w:rsidRPr="007F63DD">
        <w:rPr>
          <w:rFonts w:ascii="Times New Roman" w:hAnsi="Times New Roman" w:cs="Times New Roman"/>
          <w:sz w:val="24"/>
          <w:szCs w:val="24"/>
          <w:lang w:val="en-GB"/>
        </w:rPr>
        <w:t xml:space="preserve">In addition, the spectra for each sample shows less intense peaks centred at 485.8 eV and 488.0 eV ascribed to C-O and C=O species, respectively </w:t>
      </w:r>
      <w:r w:rsidRPr="007F63DD">
        <w:rPr>
          <w:rFonts w:ascii="Times New Roman" w:hAnsi="Times New Roman" w:cs="Times New Roman"/>
          <w:noProof/>
          <w:sz w:val="24"/>
          <w:szCs w:val="24"/>
          <w:lang w:val="en-GB"/>
        </w:rPr>
        <w:t>[49]</w:t>
      </w:r>
      <w:r w:rsidRPr="007F63DD">
        <w:rPr>
          <w:rFonts w:ascii="Times New Roman" w:hAnsi="Times New Roman" w:cs="Times New Roman"/>
          <w:sz w:val="24"/>
          <w:szCs w:val="24"/>
          <w:lang w:val="en-GB"/>
        </w:rPr>
        <w:t>. The Ti 2p region shows two peaks at 458.0 eV and 464.0 eV corresponding to the Ti 2p</w:t>
      </w:r>
      <w:r w:rsidRPr="007F63DD">
        <w:rPr>
          <w:rFonts w:ascii="Times New Roman" w:hAnsi="Times New Roman" w:cs="Times New Roman"/>
          <w:sz w:val="24"/>
          <w:szCs w:val="24"/>
          <w:vertAlign w:val="subscript"/>
          <w:lang w:val="en-GB"/>
        </w:rPr>
        <w:t xml:space="preserve">3/2 </w:t>
      </w:r>
      <w:r w:rsidRPr="007F63DD">
        <w:rPr>
          <w:rFonts w:ascii="Times New Roman" w:hAnsi="Times New Roman" w:cs="Times New Roman"/>
          <w:sz w:val="24"/>
          <w:szCs w:val="24"/>
          <w:lang w:val="en-GB"/>
        </w:rPr>
        <w:t>and Ti 2p</w:t>
      </w:r>
      <w:r w:rsidRPr="007F63DD">
        <w:rPr>
          <w:rFonts w:ascii="Times New Roman" w:hAnsi="Times New Roman" w:cs="Times New Roman"/>
          <w:sz w:val="24"/>
          <w:szCs w:val="24"/>
          <w:vertAlign w:val="subscript"/>
          <w:lang w:val="en-GB"/>
        </w:rPr>
        <w:t xml:space="preserve">1/2 </w:t>
      </w:r>
      <w:r w:rsidRPr="007F63DD">
        <w:rPr>
          <w:rFonts w:ascii="Times New Roman" w:hAnsi="Times New Roman" w:cs="Times New Roman"/>
          <w:sz w:val="24"/>
          <w:szCs w:val="24"/>
          <w:lang w:val="en-GB"/>
        </w:rPr>
        <w:t xml:space="preserve">core-levels. </w:t>
      </w:r>
      <w:bookmarkStart w:id="5" w:name="_Hlk71313664"/>
      <w:r w:rsidRPr="007F63DD">
        <w:rPr>
          <w:rFonts w:ascii="Times New Roman" w:hAnsi="Times New Roman" w:cs="Times New Roman"/>
          <w:sz w:val="24"/>
          <w:szCs w:val="24"/>
          <w:lang w:val="en-GB"/>
        </w:rPr>
        <w:t>The Ti/C surface atomic ratios calculated for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 xml:space="preserve">I </w:t>
      </w:r>
      <w:r w:rsidRPr="007F63DD">
        <w:rPr>
          <w:rFonts w:ascii="Times New Roman" w:hAnsi="Times New Roman" w:cs="Times New Roman"/>
          <w:sz w:val="24"/>
          <w:szCs w:val="24"/>
          <w:lang w:val="en-GB"/>
        </w:rPr>
        <w:t>are</w:t>
      </w:r>
      <w:r w:rsidRPr="007F63DD">
        <w:rPr>
          <w:rFonts w:ascii="Times New Roman" w:hAnsi="Times New Roman" w:cs="Times New Roman"/>
          <w:i/>
          <w:sz w:val="24"/>
          <w:szCs w:val="24"/>
          <w:lang w:val="en-GB"/>
        </w:rPr>
        <w:t xml:space="preserve"> </w:t>
      </w:r>
      <w:r w:rsidRPr="007F63DD">
        <w:rPr>
          <w:rFonts w:ascii="Times New Roman" w:hAnsi="Times New Roman" w:cs="Times New Roman"/>
          <w:sz w:val="24"/>
          <w:szCs w:val="24"/>
          <w:lang w:val="en-GB"/>
        </w:rPr>
        <w:t>0.03 and 0.12, respectively. Higher Ti/C surface atomic ratios of 0.12 and 0.66 are found for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respectively. These results are in line with the higher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content of the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series observed by SEM analysis. Composites prepared with the hydrophobic carbon showed higher Ti/C atomic ratios, explaining the photocatalytic activity results. </w:t>
      </w:r>
    </w:p>
    <w:bookmarkEnd w:id="5"/>
    <w:p w:rsidR="005E3465" w:rsidRPr="007F63DD" w:rsidRDefault="005E3465" w:rsidP="00450FC8">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Based on the results, a scheme of the effect of the preparation method on the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distribution on the carbonaceous materials and the influence on the photocatalytic activity is proposed (see Fig. 10). For the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series, a high fraction of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nanoparticles is located inside the mesoporous structure of the adsorbent, preventing photons to reach the active phase, and therefore being inactive for the photocatalytic process. Moreover, and according to the UV-Vis spectra, photons can be also adsorbed by the carbonaceous materials thus limiting the photoactivation of the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active sites. On the other hand, the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hybrids display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aggregates located on the surface of the carbonaceous materials, thus can be easily activated by the UV-A light. These results are opposite with the ones obtained with zeolite/TiO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composites, where the hybrids prepared by incipient wet impregnation promote the photocatalytic activity comparing to the ones prepared by mechanical mixing.</w:t>
      </w:r>
    </w:p>
    <w:p w:rsidR="005E3465" w:rsidRPr="007F63DD" w:rsidRDefault="005E3465" w:rsidP="006A373B">
      <w:pPr>
        <w:pStyle w:val="Prrafodelista"/>
        <w:numPr>
          <w:ilvl w:val="1"/>
          <w:numId w:val="12"/>
        </w:numPr>
        <w:jc w:val="both"/>
        <w:rPr>
          <w:rFonts w:ascii="Times New Roman" w:hAnsi="Times New Roman" w:cs="Times New Roman"/>
          <w:i/>
          <w:sz w:val="24"/>
          <w:szCs w:val="24"/>
          <w:lang w:val="en-GB"/>
        </w:rPr>
      </w:pPr>
      <w:r w:rsidRPr="007F63DD">
        <w:rPr>
          <w:rFonts w:ascii="Times New Roman" w:hAnsi="Times New Roman" w:cs="Times New Roman"/>
          <w:i/>
          <w:sz w:val="24"/>
          <w:szCs w:val="24"/>
          <w:lang w:val="en-GB"/>
        </w:rPr>
        <w:t xml:space="preserve">Effect of the carbon on the photocatalytic activity </w:t>
      </w:r>
    </w:p>
    <w:p w:rsidR="005E3465" w:rsidRPr="007F63DD" w:rsidRDefault="005E3465" w:rsidP="00D531AC">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lastRenderedPageBreak/>
        <w:t>Finally, the effect of the nature of the carbonaceous material in the degradation of HCHO and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HCl</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over the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series was studied. The experiments were carried out at different total gas flow, between 500 and 1100 mL min</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corresponding to a residence time of 0.78 and 0.35 s. The relationship between the concentration of pollutant and the photocatalyst loading was kept constant in these experiments. The experiments were performed in the absence of water vapour in order to properly understand the reaction between carbon/TiO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and the pollutants. Note that the enhancement of the photocatalytic reaction rate by the presence of water vapour has been reported previously, and ascribed to the ability of hydroxyl groups or water molecules to act as hole traps to form surface-adsorbed hydroxyl radicals </w:t>
      </w:r>
      <w:r w:rsidRPr="007F63DD">
        <w:rPr>
          <w:rFonts w:ascii="Times New Roman" w:hAnsi="Times New Roman" w:cs="Times New Roman"/>
          <w:noProof/>
          <w:sz w:val="24"/>
          <w:szCs w:val="24"/>
          <w:lang w:val="en-GB"/>
        </w:rPr>
        <w:t>[50]</w:t>
      </w:r>
      <w:r w:rsidRPr="007F63DD">
        <w:rPr>
          <w:rFonts w:ascii="Times New Roman" w:hAnsi="Times New Roman" w:cs="Times New Roman"/>
          <w:sz w:val="24"/>
          <w:szCs w:val="24"/>
          <w:lang w:val="en-GB"/>
        </w:rPr>
        <w:t>.</w:t>
      </w:r>
    </w:p>
    <w:p w:rsidR="005E3465" w:rsidRPr="007F63DD" w:rsidRDefault="005E3465" w:rsidP="00E318A2">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Fig. 11 shows the HCHO degradation rate with the C</w:t>
      </w:r>
      <w:r w:rsidRPr="007F63DD">
        <w:rPr>
          <w:rFonts w:ascii="Times New Roman" w:hAnsi="Times New Roman" w:cs="Times New Roman"/>
          <w:sz w:val="24"/>
          <w:szCs w:val="24"/>
          <w:vertAlign w:val="subscript"/>
          <w:lang w:val="en-GB"/>
        </w:rPr>
        <w:t>x</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hybrids prepared by mechanical mixing, at different total gas flow. All of the selected carbon/TiO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materials showed photoactivity under the reaction conditions studied. Starbons based hybrids were the ones displaying the best photocatalytic properties. Thus,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recorded HCHO conversion values of 80 % with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showing near total degradation of formaldehyde at 500 mL min</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As explained above,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prepared with highly graphitic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 xml:space="preserve"> material, presented the lowest BET area and HCHO adsorption capacity. In spite of the high surface area and HCHO adsorption capacity of ACTi-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and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showed higher photoactivity. Moreover, the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showed ca. 10 % higher conversion than the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Thus, AHP based on the hydrophobic carbon, was the most active material amongst the hybrids studied, with a photocatalytic conversion of around 18 % higher than commercial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This result seems to indicate that neither the BET area, HCHO adsorption ability nor the graphitization degree are parameters influencing the HCHO reaction rate. Nevertheless, the ratio between micropore area and external surface area seems to be a factor to be considered, controlling the adsorption and further diffusion of the pollutant and reaction intermediates in the porous structure of the carbon. This parameter was 1.26 for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and lower than 0.6 for the other materials. This factor, along with the hydrophobic nature of the carbon could explain at least partially, the high photoefficiency of the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hybrid material. </w:t>
      </w:r>
    </w:p>
    <w:p w:rsidR="005E3465" w:rsidRPr="007F63DD" w:rsidRDefault="005E3465" w:rsidP="00D531AC">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 xml:space="preserve">One of the proposed mechanisms explaining the photocatalytic decomposition of HCHO is through the formation of formic acid as an intermediate. Shiraisi and co-workers conducted a study to analyse the possible formation of formic acid during the reaction. They identified a small fraction of formic acid at high formaldehyde </w:t>
      </w:r>
      <w:r w:rsidRPr="007F63DD">
        <w:rPr>
          <w:rFonts w:ascii="Times New Roman" w:hAnsi="Times New Roman" w:cs="Times New Roman"/>
          <w:sz w:val="24"/>
          <w:szCs w:val="24"/>
          <w:lang w:val="en-GB"/>
        </w:rPr>
        <w:lastRenderedPageBreak/>
        <w:t>concentration and concluded that HCHO is rapidly decomposed to CO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via formic acid </w:t>
      </w:r>
      <w:r w:rsidRPr="007F63DD">
        <w:rPr>
          <w:rFonts w:ascii="Times New Roman" w:hAnsi="Times New Roman" w:cs="Times New Roman"/>
          <w:noProof/>
          <w:sz w:val="24"/>
          <w:szCs w:val="24"/>
          <w:lang w:val="en-GB"/>
        </w:rPr>
        <w:t>[51]</w:t>
      </w:r>
      <w:r w:rsidRPr="007F63DD">
        <w:rPr>
          <w:rFonts w:ascii="Times New Roman" w:hAnsi="Times New Roman" w:cs="Times New Roman"/>
          <w:sz w:val="24"/>
          <w:szCs w:val="24"/>
          <w:lang w:val="en-GB"/>
        </w:rPr>
        <w:t>. In our case, no secondary reactions products were observed.</w:t>
      </w:r>
      <w:r w:rsidRPr="007F63DD">
        <w:rPr>
          <w:rFonts w:ascii="Times New Roman" w:hAnsi="Times New Roman" w:cs="Times New Roman"/>
          <w:sz w:val="24"/>
          <w:szCs w:val="24"/>
          <w:lang w:val="en-US"/>
        </w:rPr>
        <w:t xml:space="preserve"> The interphase between the two materials could improve the diffusion of contaminant and reaction intermediates to the active sites resulting in the enhancement of the photocatalytic activity.</w:t>
      </w:r>
    </w:p>
    <w:p w:rsidR="005E3465" w:rsidRPr="007F63DD" w:rsidRDefault="005E3465" w:rsidP="00830D94">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The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HCl</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photocatalytic oxidation reaction proceeds through a series of complex reactions and the formation of chlorinated compounds. The trichloroethylene is photooxidised to CO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and HCl with adsorbed water or surface hydroxyl groups </w:t>
      </w:r>
      <w:r w:rsidRPr="007F63DD">
        <w:rPr>
          <w:rFonts w:ascii="Times New Roman" w:hAnsi="Times New Roman" w:cs="Times New Roman"/>
          <w:noProof/>
          <w:sz w:val="24"/>
          <w:szCs w:val="24"/>
          <w:lang w:val="en-GB"/>
        </w:rPr>
        <w:t>[52]</w:t>
      </w:r>
      <w:r w:rsidRPr="007F63DD">
        <w:rPr>
          <w:rFonts w:ascii="Times New Roman" w:hAnsi="Times New Roman" w:cs="Times New Roman"/>
          <w:sz w:val="24"/>
          <w:szCs w:val="24"/>
          <w:lang w:val="en-GB"/>
        </w:rPr>
        <w:t>. Moreover, other chlorinated by-products can be produced. Dichloroacetyl chloride (Cl</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HCCOCl) is a reaction intermediate that can be photooxidised yielding COCl</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CO, and HCl. The presence of water vapour leads to an enhancement of the CO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yield and a decrease of the formation of chlorinated compounds </w:t>
      </w:r>
      <w:r w:rsidRPr="007F63DD">
        <w:rPr>
          <w:rFonts w:ascii="Times New Roman" w:hAnsi="Times New Roman" w:cs="Times New Roman"/>
          <w:noProof/>
          <w:sz w:val="24"/>
          <w:szCs w:val="24"/>
          <w:lang w:val="en-GB"/>
        </w:rPr>
        <w:t>[53]</w:t>
      </w:r>
      <w:r w:rsidRPr="007F63DD">
        <w:rPr>
          <w:rFonts w:ascii="Times New Roman" w:hAnsi="Times New Roman" w:cs="Times New Roman"/>
          <w:sz w:val="24"/>
          <w:szCs w:val="24"/>
          <w:lang w:val="en-GB"/>
        </w:rPr>
        <w:t>. In this study, the experiments were performed in the absence of water in order to study the influence of the carbon nature in the mineralization process. The behaviour of the hybrid systems for the organochloride removal at high gas flow was studied (Fig. 12a). The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HCl</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reaction rate and the CO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and COCl</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selectivity results, the main reaction by-products, are collected in this figure. In line with the results obtained for the photooxidation of HCHO, C</w:t>
      </w:r>
      <w:r w:rsidRPr="007F63DD">
        <w:rPr>
          <w:rFonts w:ascii="Times New Roman" w:hAnsi="Times New Roman" w:cs="Times New Roman"/>
          <w:sz w:val="24"/>
          <w:szCs w:val="24"/>
          <w:vertAlign w:val="subscript"/>
          <w:lang w:val="en-GB"/>
        </w:rPr>
        <w:t>1</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presents the lowest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HCl</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degradation rate of 0.6 </w:t>
      </w:r>
      <w:r w:rsidRPr="007F63DD">
        <w:rPr>
          <w:rFonts w:ascii="Calibri" w:hAnsi="Calibri" w:cs="Times New Roman"/>
          <w:sz w:val="24"/>
          <w:szCs w:val="24"/>
          <w:lang w:val="en-GB"/>
        </w:rPr>
        <w:t>µ</w:t>
      </w:r>
      <w:r w:rsidRPr="007F63DD">
        <w:rPr>
          <w:rFonts w:ascii="Times New Roman" w:hAnsi="Times New Roman" w:cs="Times New Roman"/>
          <w:sz w:val="24"/>
          <w:szCs w:val="24"/>
          <w:lang w:val="en-GB"/>
        </w:rPr>
        <w:t>mol s</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xml:space="preserve"> g</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vertAlign w:val="subscript"/>
          <w:lang w:val="en-GB"/>
        </w:rPr>
        <w:t>TiO2</w:t>
      </w:r>
      <w:r w:rsidRPr="007F63DD">
        <w:rPr>
          <w:rFonts w:ascii="Times New Roman" w:hAnsi="Times New Roman" w:cs="Times New Roman"/>
          <w:sz w:val="24"/>
          <w:szCs w:val="24"/>
          <w:lang w:val="en-GB"/>
        </w:rPr>
        <w:t xml:space="preserve"> with a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HCl</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conversion near 50 %, similar to that of bare TiO</w:t>
      </w:r>
      <w:r w:rsidRPr="007F63DD">
        <w:rPr>
          <w:rFonts w:ascii="Times New Roman" w:hAnsi="Times New Roman" w:cs="Times New Roman"/>
          <w:sz w:val="24"/>
          <w:szCs w:val="24"/>
          <w:vertAlign w:val="subscript"/>
          <w:lang w:val="en-GB"/>
        </w:rPr>
        <w:t xml:space="preserve">2 </w:t>
      </w:r>
      <w:r w:rsidRPr="007F63DD">
        <w:rPr>
          <w:rFonts w:ascii="Times New Roman" w:hAnsi="Times New Roman" w:cs="Times New Roman"/>
          <w:sz w:val="24"/>
          <w:szCs w:val="24"/>
          <w:lang w:val="en-GB"/>
        </w:rPr>
        <w:t>but with higher CO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selectivity.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and ACTi-</w:t>
      </w:r>
      <w:r w:rsidRPr="007F63DD">
        <w:rPr>
          <w:rFonts w:ascii="Times New Roman" w:hAnsi="Times New Roman" w:cs="Times New Roman"/>
          <w:i/>
          <w:sz w:val="24"/>
          <w:szCs w:val="24"/>
          <w:lang w:val="en-GB"/>
        </w:rPr>
        <w:t xml:space="preserve">m </w:t>
      </w:r>
      <w:r w:rsidRPr="007F63DD">
        <w:rPr>
          <w:rFonts w:ascii="Times New Roman" w:hAnsi="Times New Roman" w:cs="Times New Roman"/>
          <w:sz w:val="24"/>
          <w:szCs w:val="24"/>
          <w:lang w:val="en-GB"/>
        </w:rPr>
        <w:t xml:space="preserve">showed similar results, with degradation rates around 0.7-0.8 </w:t>
      </w:r>
      <w:r w:rsidRPr="007F63DD">
        <w:rPr>
          <w:rFonts w:ascii="Calibri" w:hAnsi="Calibri" w:cs="Times New Roman"/>
          <w:sz w:val="24"/>
          <w:szCs w:val="24"/>
          <w:lang w:val="en-GB"/>
        </w:rPr>
        <w:t>µ</w:t>
      </w:r>
      <w:r w:rsidRPr="007F63DD">
        <w:rPr>
          <w:rFonts w:ascii="Times New Roman" w:hAnsi="Times New Roman" w:cs="Times New Roman"/>
          <w:sz w:val="24"/>
          <w:szCs w:val="24"/>
          <w:lang w:val="en-GB"/>
        </w:rPr>
        <w:t>mol s</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xml:space="preserve"> g</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vertAlign w:val="subscript"/>
          <w:lang w:val="en-GB"/>
        </w:rPr>
        <w:t>TiO2</w:t>
      </w:r>
      <w:r w:rsidRPr="007F63DD">
        <w:rPr>
          <w:rFonts w:ascii="Times New Roman" w:hAnsi="Times New Roman" w:cs="Times New Roman"/>
          <w:sz w:val="24"/>
          <w:szCs w:val="24"/>
          <w:lang w:val="en-GB"/>
        </w:rPr>
        <w:t xml:space="preserve"> corresponding to a 55-60 %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HCl</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conversion at steady state conditions. The hybrid materials studied in this work record lower COCl</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selectivity values than bare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Moreover, it should be highlighted the lower formation of chlorinated by-products by the hydrophobic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composite. Again, the most active composite of the series was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with a 15 % higher efficiency than titanium oxide</w:t>
      </w:r>
      <w:r w:rsidRPr="007F63DD">
        <w:rPr>
          <w:rFonts w:ascii="Times New Roman" w:hAnsi="Times New Roman" w:cs="Times New Roman"/>
          <w:sz w:val="24"/>
          <w:szCs w:val="24"/>
          <w:vertAlign w:val="subscript"/>
          <w:lang w:val="en-GB"/>
        </w:rPr>
        <w:t xml:space="preserve">. </w:t>
      </w:r>
      <w:r w:rsidRPr="007F63DD">
        <w:rPr>
          <w:rFonts w:ascii="Times New Roman" w:hAnsi="Times New Roman" w:cs="Times New Roman"/>
          <w:sz w:val="24"/>
          <w:szCs w:val="24"/>
          <w:lang w:val="en-GB"/>
        </w:rPr>
        <w:t>It is worth to be remarked that the mineralization process is greatly enhanced over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displaying a CO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selectivity near 75 % and the lower formation of COCl</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A similar trend can be observed from the experiments conducted at 500, 700, and 900 mL min</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These results seem to indicate that the incorporation of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to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promotes the adsorption of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HCl</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and photooxidation of reaction intermediates directing the reaction to CO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formation. </w:t>
      </w:r>
    </w:p>
    <w:p w:rsidR="005E3465" w:rsidRPr="007F63DD" w:rsidRDefault="005E3465" w:rsidP="003D60D6">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Finally, the stability for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photocatalyst over time was studied</w:t>
      </w:r>
      <w:r w:rsidRPr="007F63DD">
        <w:rPr>
          <w:rFonts w:ascii="Times New Roman" w:hAnsi="Times New Roman" w:cs="Times New Roman"/>
          <w:i/>
          <w:sz w:val="24"/>
          <w:szCs w:val="24"/>
          <w:lang w:val="en-GB"/>
        </w:rPr>
        <w:t>.</w:t>
      </w:r>
      <w:r w:rsidRPr="007F63DD">
        <w:rPr>
          <w:rFonts w:ascii="Times New Roman" w:hAnsi="Times New Roman" w:cs="Times New Roman"/>
          <w:sz w:val="24"/>
          <w:szCs w:val="24"/>
          <w:lang w:val="en-GB"/>
        </w:rPr>
        <w:t xml:space="preserve"> As it can be seen in Fig. 10b,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 xml:space="preserve"> showed a good stability not suffering any deactivation phenomena. </w:t>
      </w:r>
      <w:r w:rsidRPr="007F63DD">
        <w:rPr>
          <w:rFonts w:ascii="Times New Roman" w:hAnsi="Times New Roman" w:cs="Times New Roman"/>
          <w:sz w:val="24"/>
          <w:szCs w:val="24"/>
          <w:lang w:val="en-GB"/>
        </w:rPr>
        <w:lastRenderedPageBreak/>
        <w:t>After, near three days of continuous reaction, the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HCl</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conversion and CO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selectivity were maintained. Only small periodical fluctuations, assigned to changes in the reaction temperature during the day-night cycle, were observed.</w:t>
      </w:r>
    </w:p>
    <w:p w:rsidR="005E3465" w:rsidRPr="007F63DD" w:rsidRDefault="005E3465" w:rsidP="003D60D6">
      <w:pPr>
        <w:spacing w:line="360" w:lineRule="auto"/>
        <w:jc w:val="both"/>
        <w:rPr>
          <w:rFonts w:ascii="Times New Roman" w:hAnsi="Times New Roman" w:cs="Times New Roman"/>
          <w:sz w:val="24"/>
          <w:szCs w:val="24"/>
          <w:lang w:val="en-GB"/>
        </w:rPr>
      </w:pPr>
      <w:r w:rsidRPr="007F63DD">
        <w:rPr>
          <w:rFonts w:ascii="Times New Roman" w:hAnsi="Times New Roman" w:cs="Times New Roman"/>
          <w:sz w:val="24"/>
          <w:szCs w:val="24"/>
          <w:lang w:val="en-GB"/>
        </w:rPr>
        <w:t>Other studies in the literature report the reversible adsorption of contaminants and reaction intermediates for activated carbon based composites, avoiding the 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deactivation and promoting the photocatalytic activity </w:t>
      </w:r>
      <w:r w:rsidRPr="007F63DD">
        <w:rPr>
          <w:rFonts w:ascii="Times New Roman" w:hAnsi="Times New Roman" w:cs="Times New Roman"/>
          <w:noProof/>
          <w:sz w:val="24"/>
          <w:szCs w:val="24"/>
          <w:lang w:val="en-GB"/>
        </w:rPr>
        <w:t>[30]</w:t>
      </w:r>
      <w:r w:rsidRPr="007F63DD">
        <w:rPr>
          <w:rFonts w:ascii="Times New Roman" w:hAnsi="Times New Roman" w:cs="Times New Roman"/>
          <w:sz w:val="24"/>
          <w:szCs w:val="24"/>
          <w:lang w:val="en-GB"/>
        </w:rPr>
        <w:t>. Moreover, the effect of carbonaceous materials in the electron-hole separation properties, particularly in avoiding the recombination effect, should be considered. This effect has been reported for carbon nanotubes or graphene-based composites. The electric resistances reported by the suppliers for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and AC are 0.07, 56.500 and 137.500 ohm m</w:t>
      </w:r>
      <w:r w:rsidRPr="007F63DD">
        <w:rPr>
          <w:rFonts w:ascii="Times New Roman" w:hAnsi="Times New Roman" w:cs="Times New Roman"/>
          <w:sz w:val="24"/>
          <w:szCs w:val="24"/>
          <w:vertAlign w:val="superscript"/>
          <w:lang w:val="en-GB"/>
        </w:rPr>
        <w:t>-1</w:t>
      </w:r>
      <w:r w:rsidRPr="007F63DD">
        <w:rPr>
          <w:rFonts w:ascii="Times New Roman" w:hAnsi="Times New Roman" w:cs="Times New Roman"/>
          <w:sz w:val="24"/>
          <w:szCs w:val="24"/>
          <w:lang w:val="en-GB"/>
        </w:rPr>
        <w:t>, respectively. These values are in line with the results reported in Figure 11 and 12. Thus, C</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 xml:space="preserve"> displays the higher conductivity of the series. This property could modify the charge delocalization, avoiding the electro-hole recombination phenomena, enhancing the photocatalytic activity. Our results show the superior performance of hydrophobic ST800/TiO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composites over activated carbon based composites promoting the photocatalytic activity and selectivity to CO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Thus, this carbon is the most suitable adsorbent to obtain highly active carbon/TiO</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 xml:space="preserve"> hybrid for the degradation of both HCHO and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HCl</w:t>
      </w:r>
      <w:r w:rsidRPr="007F63DD">
        <w:rPr>
          <w:rFonts w:ascii="Times New Roman" w:hAnsi="Times New Roman" w:cs="Times New Roman"/>
          <w:sz w:val="24"/>
          <w:szCs w:val="24"/>
          <w:vertAlign w:val="subscript"/>
          <w:lang w:val="en-GB"/>
        </w:rPr>
        <w:t>3</w:t>
      </w:r>
      <w:r w:rsidRPr="007F63DD">
        <w:rPr>
          <w:rFonts w:ascii="Times New Roman" w:hAnsi="Times New Roman" w:cs="Times New Roman"/>
          <w:sz w:val="24"/>
          <w:szCs w:val="24"/>
          <w:lang w:val="en-GB"/>
        </w:rPr>
        <w:t>.</w:t>
      </w:r>
      <w:r w:rsidRPr="007F63DD">
        <w:rPr>
          <w:sz w:val="24"/>
          <w:szCs w:val="24"/>
          <w:lang w:val="en-GB"/>
        </w:rPr>
        <w:t xml:space="preserve"> </w:t>
      </w:r>
      <w:r w:rsidRPr="007F63DD">
        <w:rPr>
          <w:rFonts w:ascii="Times New Roman" w:hAnsi="Times New Roman" w:cs="Times New Roman"/>
          <w:sz w:val="24"/>
          <w:szCs w:val="24"/>
          <w:lang w:val="en-GB"/>
        </w:rPr>
        <w:t>This study opens the possibility to the application of this composite to indoor air treatment units, operating at high gas flow and with one single pass reactors.</w:t>
      </w:r>
    </w:p>
    <w:p w:rsidR="005E3465" w:rsidRPr="007F63DD" w:rsidRDefault="005E3465" w:rsidP="00790AE6">
      <w:pPr>
        <w:pStyle w:val="Prrafodelista"/>
        <w:spacing w:line="360" w:lineRule="auto"/>
        <w:ind w:left="0"/>
        <w:jc w:val="both"/>
        <w:rPr>
          <w:rFonts w:ascii="Times New Roman" w:hAnsi="Times New Roman" w:cs="Times New Roman"/>
          <w:b/>
          <w:sz w:val="24"/>
          <w:szCs w:val="24"/>
          <w:lang w:val="en-US"/>
        </w:rPr>
      </w:pPr>
      <w:r w:rsidRPr="007F63DD">
        <w:rPr>
          <w:rFonts w:ascii="Times New Roman" w:hAnsi="Times New Roman" w:cs="Times New Roman"/>
          <w:b/>
          <w:sz w:val="24"/>
          <w:szCs w:val="24"/>
          <w:lang w:val="en-US"/>
        </w:rPr>
        <w:t>4. Conclusions</w:t>
      </w:r>
    </w:p>
    <w:p w:rsidR="005E3465" w:rsidRPr="007F63DD" w:rsidRDefault="005E3465" w:rsidP="00CD71E4">
      <w:pPr>
        <w:spacing w:line="360" w:lineRule="auto"/>
        <w:jc w:val="both"/>
        <w:rPr>
          <w:rFonts w:ascii="Times New Roman" w:hAnsi="Times New Roman" w:cs="Times New Roman"/>
          <w:sz w:val="24"/>
          <w:szCs w:val="24"/>
          <w:lang w:val="en-US"/>
        </w:rPr>
      </w:pPr>
      <w:r w:rsidRPr="007F63DD">
        <w:rPr>
          <w:rFonts w:ascii="Times New Roman" w:hAnsi="Times New Roman" w:cs="Times New Roman"/>
          <w:sz w:val="24"/>
          <w:szCs w:val="24"/>
          <w:lang w:val="en-US"/>
        </w:rPr>
        <w:t>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hybrids were synthetized and studied for the photocatalytic oxidation of formaldehyde and trichloroethylene. Carbonaceous materials (mesoporous carbon, activated carbon, and Starbons) with different textural properties, graphitization grade and hydrophobic-hydrophilic nature were selected. The preparation method has a strong influence in the distribution of the semiconductor in the adsorbent and as a consequence in the final photocatalytic performance. </w:t>
      </w:r>
      <w:r w:rsidRPr="007F63DD">
        <w:rPr>
          <w:rFonts w:ascii="Times New Roman" w:hAnsi="Times New Roman" w:cs="Times New Roman"/>
          <w:i/>
          <w:sz w:val="24"/>
          <w:szCs w:val="24"/>
          <w:lang w:val="en-US"/>
        </w:rPr>
        <w:t>Mechanical mixing</w:t>
      </w:r>
      <w:r w:rsidRPr="007F63DD">
        <w:rPr>
          <w:rFonts w:ascii="Times New Roman" w:hAnsi="Times New Roman" w:cs="Times New Roman"/>
          <w:sz w:val="24"/>
          <w:szCs w:val="24"/>
          <w:lang w:val="en-US"/>
        </w:rPr>
        <w:t xml:space="preserve"> starting with commercial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is a simple and effective method for the development of highly photoefficient carbon/TiO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composites. On the contrary, </w:t>
      </w:r>
      <w:r w:rsidRPr="007F63DD">
        <w:rPr>
          <w:rFonts w:ascii="Times New Roman" w:hAnsi="Times New Roman" w:cs="Times New Roman"/>
          <w:i/>
          <w:sz w:val="24"/>
          <w:szCs w:val="24"/>
          <w:lang w:val="en-US"/>
        </w:rPr>
        <w:t>incipient wet impregnation</w:t>
      </w:r>
      <w:r w:rsidRPr="007F63DD">
        <w:rPr>
          <w:rFonts w:ascii="Times New Roman" w:hAnsi="Times New Roman" w:cs="Times New Roman"/>
          <w:sz w:val="24"/>
          <w:szCs w:val="24"/>
          <w:lang w:val="en-US"/>
        </w:rPr>
        <w:t xml:space="preserve"> through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nanoparticles was not recommended to prepare these composites, contrary to what it was previously reported for zeolite/TiO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hybrids. Incorporation of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nanoparticles inside the mesoporous structure of the carbonaceous materials and adsorption of the UV-A photons by mesoporous carbonaceous materials, are parameters that should be </w:t>
      </w:r>
      <w:r w:rsidRPr="007F63DD">
        <w:rPr>
          <w:rFonts w:ascii="Times New Roman" w:hAnsi="Times New Roman" w:cs="Times New Roman"/>
          <w:sz w:val="24"/>
          <w:szCs w:val="24"/>
          <w:lang w:val="en-US"/>
        </w:rPr>
        <w:lastRenderedPageBreak/>
        <w:t>taking into account for selecting the proper synthesis method. Finally, the correct selection of the carbonaceous materials turns out to be essential to improve the photocatalytic efficiency of bare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in terms of pollutant degradation rate and selectivity to CO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The results obtained showed the superior performance of ST-800/TiO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composites, for both the photooxidation of aldehyde and organochloride compounds, compared to the other graphitized carbons under study. Moreover this composite shows excellent photocatalytic stability with reaction time. The improvement on the pollutant photooxidation reaction rate and the mineralization process respect to bare TiO</w:t>
      </w:r>
      <w:r w:rsidRPr="007F63DD">
        <w:rPr>
          <w:rFonts w:ascii="Times New Roman" w:hAnsi="Times New Roman" w:cs="Times New Roman"/>
          <w:sz w:val="24"/>
          <w:szCs w:val="24"/>
          <w:vertAlign w:val="subscript"/>
          <w:lang w:val="en-US"/>
        </w:rPr>
        <w:t>2</w:t>
      </w:r>
      <w:r w:rsidRPr="007F63DD">
        <w:rPr>
          <w:rFonts w:ascii="Times New Roman" w:hAnsi="Times New Roman" w:cs="Times New Roman"/>
          <w:sz w:val="24"/>
          <w:szCs w:val="24"/>
          <w:lang w:val="en-US"/>
        </w:rPr>
        <w:t xml:space="preserve"> was clearly observed. </w:t>
      </w:r>
    </w:p>
    <w:p w:rsidR="005E3465" w:rsidRPr="007F63DD" w:rsidRDefault="005E3465" w:rsidP="00790AE6">
      <w:pPr>
        <w:pStyle w:val="Prrafodelista"/>
        <w:numPr>
          <w:ilvl w:val="0"/>
          <w:numId w:val="14"/>
        </w:numPr>
        <w:ind w:left="284" w:hanging="284"/>
        <w:rPr>
          <w:rFonts w:ascii="Times New Roman" w:hAnsi="Times New Roman" w:cs="Times New Roman"/>
          <w:b/>
          <w:sz w:val="24"/>
          <w:szCs w:val="24"/>
          <w:lang w:val="en-US"/>
        </w:rPr>
      </w:pPr>
      <w:r w:rsidRPr="007F63DD">
        <w:rPr>
          <w:rFonts w:ascii="Times New Roman" w:hAnsi="Times New Roman" w:cs="Times New Roman"/>
          <w:b/>
          <w:sz w:val="24"/>
          <w:szCs w:val="24"/>
          <w:lang w:val="en-US"/>
        </w:rPr>
        <w:t xml:space="preserve">Acknowledgment </w:t>
      </w:r>
    </w:p>
    <w:p w:rsidR="005E3465" w:rsidRPr="007F63DD" w:rsidRDefault="005E3465" w:rsidP="00790AE6">
      <w:pPr>
        <w:spacing w:line="360" w:lineRule="auto"/>
        <w:jc w:val="both"/>
        <w:rPr>
          <w:b/>
          <w:sz w:val="28"/>
          <w:szCs w:val="28"/>
          <w:lang w:val="en-US"/>
        </w:rPr>
      </w:pPr>
      <w:r w:rsidRPr="007F63DD">
        <w:rPr>
          <w:rFonts w:ascii="Times New Roman" w:hAnsi="Times New Roman" w:cs="Times New Roman"/>
          <w:sz w:val="24"/>
          <w:szCs w:val="24"/>
          <w:lang w:val="en-US"/>
        </w:rPr>
        <w:t>The authors acknowledge the Centre for the Development of Industrial Technology CDTI (Project IDI-20180347) for the financial support. The authors thank to the Research Support Unit from the ICP-CSIC for XRD and BET analysis and Dr. M. Yates for the discussions in the interpretation of the textural properties.</w:t>
      </w:r>
      <w:r w:rsidRPr="007F63DD">
        <w:rPr>
          <w:b/>
          <w:sz w:val="28"/>
          <w:szCs w:val="28"/>
          <w:lang w:val="en-US"/>
        </w:rPr>
        <w:br w:type="page"/>
      </w:r>
    </w:p>
    <w:p w:rsidR="005E3465" w:rsidRPr="007F63DD" w:rsidRDefault="005E3465" w:rsidP="00790AE6">
      <w:pPr>
        <w:pStyle w:val="Prrafodelista"/>
        <w:numPr>
          <w:ilvl w:val="0"/>
          <w:numId w:val="14"/>
        </w:numPr>
        <w:ind w:left="284" w:hanging="284"/>
        <w:rPr>
          <w:rFonts w:ascii="Times New Roman" w:hAnsi="Times New Roman" w:cs="Times New Roman"/>
          <w:b/>
          <w:sz w:val="24"/>
          <w:szCs w:val="24"/>
          <w:lang w:val="en-US"/>
        </w:rPr>
      </w:pPr>
      <w:r w:rsidRPr="007F63DD">
        <w:rPr>
          <w:rFonts w:ascii="Times New Roman" w:hAnsi="Times New Roman" w:cs="Times New Roman"/>
          <w:b/>
          <w:sz w:val="24"/>
          <w:szCs w:val="24"/>
          <w:lang w:val="en-US"/>
        </w:rPr>
        <w:lastRenderedPageBreak/>
        <w:t>References</w:t>
      </w:r>
    </w:p>
    <w:p w:rsidR="005E3465" w:rsidRPr="007F63DD" w:rsidRDefault="005E3465" w:rsidP="00700DFA">
      <w:pPr>
        <w:pStyle w:val="Prrafodelista"/>
        <w:spacing w:after="0"/>
        <w:rPr>
          <w:rFonts w:ascii="Times New Roman" w:hAnsi="Times New Roman" w:cs="Times New Roman"/>
          <w:sz w:val="24"/>
          <w:szCs w:val="24"/>
          <w:lang w:val="en-US"/>
        </w:rPr>
      </w:pPr>
    </w:p>
    <w:p w:rsidR="005E3465" w:rsidRPr="007F63DD" w:rsidRDefault="005E3465" w:rsidP="006A2C3C">
      <w:pPr>
        <w:pStyle w:val="EndNoteBibliography"/>
        <w:spacing w:after="0"/>
        <w:jc w:val="both"/>
      </w:pPr>
      <w:bookmarkStart w:id="6" w:name="_ENREF_1"/>
      <w:r w:rsidRPr="007F63DD">
        <w:t>[1] WHO, World health statistics 2019: monitoring health for the SDGs, sustainable development goals, Genova, 2019.</w:t>
      </w:r>
      <w:bookmarkEnd w:id="6"/>
    </w:p>
    <w:p w:rsidR="005E3465" w:rsidRPr="007F63DD" w:rsidRDefault="005E3465" w:rsidP="006A2C3C">
      <w:pPr>
        <w:pStyle w:val="EndNoteBibliography"/>
        <w:spacing w:after="0"/>
        <w:jc w:val="both"/>
      </w:pPr>
      <w:bookmarkStart w:id="7" w:name="_ENREF_2"/>
      <w:r w:rsidRPr="007F63DD">
        <w:t>[2] G.R. Parmar, N.N. Rao, Emerging control technologies for volatile organic compounds, Crit. Rev. Environ. Sci. Technol., 39 (2009) 41-78.</w:t>
      </w:r>
      <w:bookmarkEnd w:id="7"/>
    </w:p>
    <w:p w:rsidR="005E3465" w:rsidRPr="007F63DD" w:rsidRDefault="005E3465" w:rsidP="006A2C3C">
      <w:pPr>
        <w:pStyle w:val="EndNoteBibliography"/>
        <w:spacing w:after="0"/>
        <w:jc w:val="both"/>
      </w:pPr>
      <w:bookmarkStart w:id="8" w:name="_ENREF_3"/>
      <w:r w:rsidRPr="007F63DD">
        <w:t>[3]</w:t>
      </w:r>
      <w:bookmarkEnd w:id="8"/>
      <w:r w:rsidR="00766145" w:rsidRPr="007F63DD">
        <w:t xml:space="preserve"> O. Legrini, E. Oliveros, and A. M. Braun, Photochemical processes for water treatment. Chem. Rev. 93-2 (1993) 671–698.</w:t>
      </w:r>
    </w:p>
    <w:p w:rsidR="005E3465" w:rsidRPr="007F63DD" w:rsidRDefault="005E3465" w:rsidP="006A2C3C">
      <w:pPr>
        <w:pStyle w:val="EndNoteBibliography"/>
        <w:spacing w:after="0"/>
        <w:jc w:val="both"/>
      </w:pPr>
      <w:bookmarkStart w:id="9" w:name="_ENREF_4"/>
      <w:r w:rsidRPr="007F63DD">
        <w:t>[4] G.D. Nielsen, S.T. Larsen, P. Wolkoff, Recent trend in risk assessment of formaldehyde exposures from indoor air, Arch. Toxicol., 87 (2013) 73-98.</w:t>
      </w:r>
      <w:bookmarkEnd w:id="9"/>
    </w:p>
    <w:p w:rsidR="005E3465" w:rsidRPr="007F63DD" w:rsidRDefault="005E3465" w:rsidP="008C2C8E">
      <w:pPr>
        <w:pStyle w:val="EndNoteBibliography"/>
        <w:spacing w:after="0"/>
        <w:jc w:val="both"/>
      </w:pPr>
      <w:bookmarkStart w:id="10" w:name="_ENREF_5"/>
      <w:r w:rsidRPr="007F63DD">
        <w:t>[5] I.A.f.R.o.C. (IARC), Monographs on the evaluation of carcinogenic risks to human. Formaldehyde</w:t>
      </w:r>
      <w:r w:rsidR="006A2C3C" w:rsidRPr="007F63DD">
        <w:t xml:space="preserve"> </w:t>
      </w:r>
      <w:r w:rsidRPr="007F63DD">
        <w:t>International Agency for Research on Cancer (IARC), Lyon, 2012, pp. 1-36.</w:t>
      </w:r>
      <w:bookmarkEnd w:id="10"/>
    </w:p>
    <w:p w:rsidR="005E3465" w:rsidRPr="007F63DD" w:rsidRDefault="005E3465" w:rsidP="006A2C3C">
      <w:pPr>
        <w:pStyle w:val="EndNoteBibliography"/>
        <w:spacing w:after="0"/>
        <w:jc w:val="both"/>
      </w:pPr>
      <w:bookmarkStart w:id="11" w:name="_ENREF_6"/>
      <w:r w:rsidRPr="007F63DD">
        <w:t>[6] S. Karami, Q. Lan, N. Rothman, P.A. Stewart, K.-M. Lee, R. Vermeulen, L.E. Moore, Occupational trichloroethylene exposure and kidney cancer risk: a meta-analysis, Occup</w:t>
      </w:r>
      <w:r w:rsidR="006A2C3C" w:rsidRPr="007F63DD">
        <w:t>.</w:t>
      </w:r>
      <w:r w:rsidRPr="007F63DD">
        <w:t xml:space="preserve"> Environ</w:t>
      </w:r>
      <w:r w:rsidR="006A2C3C" w:rsidRPr="007F63DD">
        <w:t>. Med.</w:t>
      </w:r>
      <w:r w:rsidRPr="007F63DD">
        <w:t>, 69 (2012) 858-867.</w:t>
      </w:r>
      <w:bookmarkEnd w:id="11"/>
    </w:p>
    <w:p w:rsidR="005E3465" w:rsidRPr="007F63DD" w:rsidRDefault="005E3465" w:rsidP="006A2C3C">
      <w:pPr>
        <w:pStyle w:val="EndNoteBibliography"/>
        <w:spacing w:after="0"/>
        <w:jc w:val="both"/>
      </w:pPr>
      <w:bookmarkStart w:id="12" w:name="_ENREF_7"/>
      <w:r w:rsidRPr="007F63DD">
        <w:t>[7] F. Fresno, R. Portela, S. Suarez, J.M. Coronado, Photocatalytic materials: recent achievements and near future trends, J</w:t>
      </w:r>
      <w:r w:rsidR="006A2C3C" w:rsidRPr="007F63DD">
        <w:t>.</w:t>
      </w:r>
      <w:r w:rsidRPr="007F63DD">
        <w:t xml:space="preserve"> Mater</w:t>
      </w:r>
      <w:r w:rsidR="006A2C3C" w:rsidRPr="007F63DD">
        <w:t>.</w:t>
      </w:r>
      <w:r w:rsidRPr="007F63DD">
        <w:t xml:space="preserve"> Chem</w:t>
      </w:r>
      <w:r w:rsidR="006A2C3C" w:rsidRPr="007F63DD">
        <w:t>.</w:t>
      </w:r>
      <w:r w:rsidRPr="007F63DD">
        <w:t xml:space="preserve"> A, 2 (2014) 2863-2884.</w:t>
      </w:r>
      <w:bookmarkEnd w:id="12"/>
    </w:p>
    <w:p w:rsidR="005E3465" w:rsidRPr="007F63DD" w:rsidRDefault="005E3465" w:rsidP="006A2C3C">
      <w:pPr>
        <w:pStyle w:val="EndNoteBibliography"/>
        <w:spacing w:after="0"/>
        <w:jc w:val="both"/>
      </w:pPr>
      <w:bookmarkStart w:id="13" w:name="_ENREF_8"/>
      <w:r w:rsidRPr="007F63DD">
        <w:t>[8] N. Takeda, T. Torimoto, S. Sampath, S. Kuwabata, H. Yoneyama, Effect of inert supports for titanium dioxide loading on enhancement of photodecomposition rate of gaseous propionaldehyde, J. Phys. Chem., 99 (1995) 9986-9991.</w:t>
      </w:r>
      <w:bookmarkEnd w:id="13"/>
    </w:p>
    <w:p w:rsidR="005E3465" w:rsidRPr="007F63DD" w:rsidRDefault="005E3465" w:rsidP="006A2C3C">
      <w:pPr>
        <w:pStyle w:val="EndNoteBibliography"/>
        <w:spacing w:after="0"/>
        <w:jc w:val="both"/>
      </w:pPr>
      <w:bookmarkStart w:id="14" w:name="_ENREF_9"/>
      <w:r w:rsidRPr="007F63DD">
        <w:t>[9] S. Suárez, T.L.R. Hewer, R. Portela, M.D. Hernandez-Alonso, R.S. Freire, B. Sanchez, Behaviour of TiO2-SiMgOx hybrid composites on the solar photocatalytic degradation of polluted air, Appl. Catal. B, 101 (2011) 176-182.</w:t>
      </w:r>
      <w:bookmarkEnd w:id="14"/>
    </w:p>
    <w:p w:rsidR="005E3465" w:rsidRPr="007F63DD" w:rsidRDefault="005E3465" w:rsidP="006A2C3C">
      <w:pPr>
        <w:pStyle w:val="EndNoteBibliography"/>
        <w:spacing w:after="0"/>
        <w:jc w:val="both"/>
      </w:pPr>
      <w:bookmarkStart w:id="15" w:name="_ENREF_10"/>
      <w:r w:rsidRPr="007F63DD">
        <w:t>[10] I. Jansson, S. Suárez, F.J. García-García, B. Sánchez, Zeolite–TiO</w:t>
      </w:r>
      <w:r w:rsidRPr="007F63DD">
        <w:rPr>
          <w:vertAlign w:val="subscript"/>
        </w:rPr>
        <w:t>2</w:t>
      </w:r>
      <w:r w:rsidRPr="007F63DD">
        <w:t xml:space="preserve"> hybrid composites for pollutant degradation in gas phase, Appl. Catal. B, 178 (2015) 100-107.</w:t>
      </w:r>
      <w:bookmarkEnd w:id="15"/>
    </w:p>
    <w:p w:rsidR="005E3465" w:rsidRPr="007F63DD" w:rsidRDefault="005E3465" w:rsidP="006A2C3C">
      <w:pPr>
        <w:pStyle w:val="EndNoteBibliography"/>
        <w:spacing w:after="0"/>
        <w:jc w:val="both"/>
      </w:pPr>
      <w:bookmarkStart w:id="16" w:name="_ENREF_11"/>
      <w:r w:rsidRPr="007F63DD">
        <w:t>[11] C.O. Ania, P.A. Armstrong, T.J. Bandosz, F. Beguin, A.P. Carvalho, A. Celzard, E. Frackowiak, M.A. Gilarranz, K. László, J. Matos, M.F.R. Pereira, Engaging nanoporous carbons in “beyond adsorption” applications: Characterization, challenges and performance, Carbon, 164 (2020) 69-84.</w:t>
      </w:r>
      <w:bookmarkEnd w:id="16"/>
    </w:p>
    <w:p w:rsidR="005E3465" w:rsidRPr="007F63DD" w:rsidRDefault="005E3465" w:rsidP="006A2C3C">
      <w:pPr>
        <w:pStyle w:val="EndNoteBibliography"/>
        <w:spacing w:after="0"/>
        <w:jc w:val="both"/>
      </w:pPr>
      <w:bookmarkStart w:id="17" w:name="_ENREF_12"/>
      <w:r w:rsidRPr="007F63DD">
        <w:t>[12] F. Rodríguez-Reinoso, The role of carbon materials in heterogeneous catalysis, Carbon, 36 (1998) 159-175.</w:t>
      </w:r>
      <w:bookmarkEnd w:id="17"/>
    </w:p>
    <w:p w:rsidR="005E3465" w:rsidRPr="007F63DD" w:rsidRDefault="005E3465" w:rsidP="006A2C3C">
      <w:pPr>
        <w:pStyle w:val="EndNoteBibliography"/>
        <w:spacing w:after="0"/>
        <w:jc w:val="both"/>
      </w:pPr>
      <w:bookmarkStart w:id="18" w:name="_ENREF_13"/>
      <w:r w:rsidRPr="007F63DD">
        <w:lastRenderedPageBreak/>
        <w:t>[13] T.J. Bandosz, A. Policicchio, M. Florent, W. Li, P.S. Poon, J. Matos, Solar light-driven photocatalytic degradation of phenol on S-doped nanoporous carbons: The role of functional groups in governing activity and selectivity, Carbon, 156 (2020) 10-23.</w:t>
      </w:r>
      <w:bookmarkEnd w:id="18"/>
    </w:p>
    <w:p w:rsidR="005E3465" w:rsidRPr="007F63DD" w:rsidRDefault="005E3465" w:rsidP="006A2C3C">
      <w:pPr>
        <w:pStyle w:val="EndNoteBibliography"/>
        <w:spacing w:after="0"/>
        <w:jc w:val="both"/>
      </w:pPr>
      <w:bookmarkStart w:id="19" w:name="_ENREF_14"/>
      <w:r w:rsidRPr="007F63DD">
        <w:t>[14] J.H. Park, S. Kim, A.J. Bard, Novel Carbon-Doped TiO2 Nanotube Arrays with High Aspect Ratios for Efficient Solar Water Splitting, Nano Lett., 6 (2006) 24-28.</w:t>
      </w:r>
      <w:bookmarkEnd w:id="19"/>
    </w:p>
    <w:p w:rsidR="005E3465" w:rsidRPr="007F63DD" w:rsidRDefault="005E3465" w:rsidP="006A2C3C">
      <w:pPr>
        <w:pStyle w:val="EndNoteBibliography"/>
        <w:spacing w:after="0"/>
        <w:jc w:val="both"/>
      </w:pPr>
      <w:bookmarkStart w:id="20" w:name="_ENREF_15"/>
      <w:r w:rsidRPr="007F63DD">
        <w:t>[15] B. Ahmmad, K. Kanomata, F. Hirose, Enhanced Photocatalytic Hydrogen Production on TiO</w:t>
      </w:r>
      <w:r w:rsidRPr="007F63DD">
        <w:rPr>
          <w:vertAlign w:val="subscript"/>
        </w:rPr>
        <w:t>2</w:t>
      </w:r>
      <w:r w:rsidRPr="007F63DD">
        <w:t xml:space="preserve"> by Using Carbon Materials, WASET, 8 (2014) 24-29.</w:t>
      </w:r>
      <w:bookmarkEnd w:id="20"/>
    </w:p>
    <w:p w:rsidR="005E3465" w:rsidRPr="007F63DD" w:rsidRDefault="005E3465" w:rsidP="006A2C3C">
      <w:pPr>
        <w:pStyle w:val="EndNoteBibliography"/>
        <w:spacing w:after="0"/>
        <w:jc w:val="both"/>
      </w:pPr>
      <w:bookmarkStart w:id="21" w:name="_ENREF_16"/>
      <w:r w:rsidRPr="007F63DD">
        <w:t>[16] V. Krishna, S. Pumprueg, S.H. Lee, J. Zhao, W. Sigmund, B. Koopman, B.M. Moudgil, Photocatalytic disinfection with titanium dioxide coated multi-wall carbon nanotubes, Process Saf. Environ. Prot., 83 (2005) 393-397.</w:t>
      </w:r>
      <w:bookmarkEnd w:id="21"/>
    </w:p>
    <w:p w:rsidR="005E3465" w:rsidRPr="007F63DD" w:rsidRDefault="005E3465" w:rsidP="006A2C3C">
      <w:pPr>
        <w:pStyle w:val="EndNoteBibliography"/>
        <w:spacing w:after="0"/>
        <w:jc w:val="both"/>
      </w:pPr>
      <w:bookmarkStart w:id="22" w:name="_ENREF_17"/>
      <w:r w:rsidRPr="007F63DD">
        <w:t xml:space="preserve">[17] S.-H. Lee, S. Pumprueg, B. Moudgil, W. Sigmund, Inactivation of bacterial endospores by photocatalytic nanocomposites, </w:t>
      </w:r>
      <w:r w:rsidR="006A2C3C" w:rsidRPr="007F63DD">
        <w:t>Colloids Surf. B</w:t>
      </w:r>
      <w:r w:rsidRPr="007F63DD">
        <w:t>, 40 (2005) 93-98.</w:t>
      </w:r>
      <w:bookmarkEnd w:id="22"/>
    </w:p>
    <w:p w:rsidR="005E3465" w:rsidRPr="007F63DD" w:rsidRDefault="005E3465" w:rsidP="006A2C3C">
      <w:pPr>
        <w:pStyle w:val="EndNoteBibliography"/>
        <w:spacing w:after="0"/>
        <w:jc w:val="both"/>
      </w:pPr>
      <w:bookmarkStart w:id="23" w:name="_ENREF_18"/>
      <w:r w:rsidRPr="007F63DD">
        <w:t>[18] J. Low, B. Cheng, J. Yu, M. Jaroniec, Carbon-based two-dimensional layered materials for photocatalytic CO</w:t>
      </w:r>
      <w:r w:rsidRPr="007F63DD">
        <w:rPr>
          <w:vertAlign w:val="subscript"/>
        </w:rPr>
        <w:t>2</w:t>
      </w:r>
      <w:r w:rsidRPr="007F63DD">
        <w:t xml:space="preserve"> reduction to solar fuels, Energy Storage Mater., 3 (2016) 24-35.</w:t>
      </w:r>
      <w:bookmarkEnd w:id="23"/>
    </w:p>
    <w:p w:rsidR="005E3465" w:rsidRPr="007F63DD" w:rsidRDefault="005E3465" w:rsidP="006A2C3C">
      <w:pPr>
        <w:pStyle w:val="EndNoteBibliography"/>
        <w:spacing w:after="0"/>
        <w:jc w:val="both"/>
      </w:pPr>
      <w:bookmarkStart w:id="24" w:name="_ENREF_19"/>
      <w:r w:rsidRPr="007F63DD">
        <w:t>[19] J.-h. Liu, R. Yang, S.-m. Li, Preparation and application of efficient TiO2/ACFs photocatalyst, J</w:t>
      </w:r>
      <w:r w:rsidR="006A2C3C" w:rsidRPr="007F63DD">
        <w:t xml:space="preserve">. </w:t>
      </w:r>
      <w:r w:rsidRPr="007F63DD">
        <w:t>Environ</w:t>
      </w:r>
      <w:r w:rsidR="006A2C3C" w:rsidRPr="007F63DD">
        <w:t>.</w:t>
      </w:r>
      <w:r w:rsidRPr="007F63DD">
        <w:t xml:space="preserve"> Sci</w:t>
      </w:r>
      <w:r w:rsidR="00BB241C" w:rsidRPr="007F63DD">
        <w:t>.</w:t>
      </w:r>
      <w:r w:rsidRPr="007F63DD">
        <w:t>, 18 (2006) 979-982.</w:t>
      </w:r>
      <w:bookmarkEnd w:id="24"/>
    </w:p>
    <w:p w:rsidR="005E3465" w:rsidRPr="007F63DD" w:rsidRDefault="005E3465" w:rsidP="006A2C3C">
      <w:pPr>
        <w:pStyle w:val="EndNoteBibliography"/>
        <w:spacing w:after="0"/>
        <w:jc w:val="both"/>
      </w:pPr>
      <w:bookmarkStart w:id="25" w:name="_ENREF_20"/>
      <w:r w:rsidRPr="007F63DD">
        <w:t>[20] A. Wanag, E. Kusiak-Nejman, Ł. Kowalczyk, J. Kapica-Kozar, B. Ohtani, A.W. Morawski, Synthesis and characterization of TiO</w:t>
      </w:r>
      <w:r w:rsidRPr="007F63DD">
        <w:rPr>
          <w:vertAlign w:val="subscript"/>
        </w:rPr>
        <w:t>2</w:t>
      </w:r>
      <w:r w:rsidRPr="007F63DD">
        <w:t>/graphitic carbon nanocomposites with enhanced photocatalytic performance, Appl. Surf. Sci., 437 (2018) 441-450.</w:t>
      </w:r>
      <w:bookmarkEnd w:id="25"/>
    </w:p>
    <w:p w:rsidR="005E3465" w:rsidRPr="007F63DD" w:rsidRDefault="005E3465" w:rsidP="006A2C3C">
      <w:pPr>
        <w:pStyle w:val="EndNoteBibliography"/>
        <w:spacing w:after="0"/>
        <w:jc w:val="both"/>
      </w:pPr>
      <w:bookmarkStart w:id="26" w:name="_ENREF_21"/>
      <w:r w:rsidRPr="007F63DD">
        <w:t>[21] C.H. Ao, S.C. Lee, Combination effect of activated carbon with TiO2 for the photodegradation of binary pollutants at typical indoor air level, J. Photochem. Photobiol. A, 161 (2004) 131-140.</w:t>
      </w:r>
      <w:bookmarkEnd w:id="26"/>
    </w:p>
    <w:p w:rsidR="005E3465" w:rsidRPr="007F63DD" w:rsidRDefault="005E3465" w:rsidP="006A2C3C">
      <w:pPr>
        <w:pStyle w:val="EndNoteBibliography"/>
        <w:spacing w:after="0"/>
        <w:jc w:val="both"/>
      </w:pPr>
      <w:bookmarkStart w:id="27" w:name="_ENREF_22"/>
      <w:r w:rsidRPr="007F63DD">
        <w:t>[22] J. Matos, E. García-López, L. Palmisano, A. García, G. Marcì, Influence of activated carbon in TiO</w:t>
      </w:r>
      <w:r w:rsidRPr="007F63DD">
        <w:rPr>
          <w:vertAlign w:val="subscript"/>
        </w:rPr>
        <w:t>2</w:t>
      </w:r>
      <w:r w:rsidRPr="007F63DD">
        <w:t xml:space="preserve"> and ZnO mediated photo-assisted degradation of 2-propanol in gas-solid regime, Appl. Catal. B, 99 (2010) 170-180.</w:t>
      </w:r>
      <w:bookmarkEnd w:id="27"/>
    </w:p>
    <w:p w:rsidR="005E3465" w:rsidRPr="007F63DD" w:rsidRDefault="005E3465" w:rsidP="006A2C3C">
      <w:pPr>
        <w:pStyle w:val="EndNoteBibliography"/>
        <w:spacing w:after="0"/>
        <w:jc w:val="both"/>
      </w:pPr>
      <w:bookmarkStart w:id="28" w:name="_ENREF_23"/>
      <w:r w:rsidRPr="007F63DD">
        <w:t>[23] B. Huang, S. Saka, Photocatalytic activity of TiO2 crystallite-activated carbon composites prepared in supercritical isopropanol for the decomposition of formaldehyde, J. Wood Sci., 49 (2003) 0079-0085.</w:t>
      </w:r>
      <w:bookmarkEnd w:id="28"/>
    </w:p>
    <w:p w:rsidR="005E3465" w:rsidRPr="007F63DD" w:rsidRDefault="005E3465" w:rsidP="006A2C3C">
      <w:pPr>
        <w:pStyle w:val="EndNoteBibliography"/>
        <w:spacing w:after="0"/>
        <w:jc w:val="both"/>
      </w:pPr>
      <w:bookmarkStart w:id="29" w:name="_ENREF_24"/>
      <w:r w:rsidRPr="007F63DD">
        <w:t>[24] M. Sevilla, A.B. Fuertes, Catalytic graphitization of templated mesoporous carbons, Carbon, 44 (2006) 468-474.</w:t>
      </w:r>
      <w:bookmarkEnd w:id="29"/>
    </w:p>
    <w:p w:rsidR="005E3465" w:rsidRPr="007F63DD" w:rsidRDefault="005E3465" w:rsidP="006A2C3C">
      <w:pPr>
        <w:pStyle w:val="EndNoteBibliography"/>
        <w:spacing w:after="0"/>
        <w:jc w:val="both"/>
      </w:pPr>
      <w:bookmarkStart w:id="30" w:name="_ENREF_25"/>
      <w:r w:rsidRPr="007F63DD">
        <w:t>[25] W. Gao, Y. Wan, Y. Dou, D. Zhao, Synthesis of Partially Graphitic Ordered Mesoporous Carbons with High Surface Areas, Adv. Energy Mater., 1 (2011) 115-123.</w:t>
      </w:r>
      <w:bookmarkEnd w:id="30"/>
    </w:p>
    <w:p w:rsidR="005E3465" w:rsidRPr="007F63DD" w:rsidRDefault="005E3465" w:rsidP="006A2C3C">
      <w:pPr>
        <w:pStyle w:val="EndNoteBibliography"/>
        <w:spacing w:after="0"/>
        <w:jc w:val="both"/>
      </w:pPr>
      <w:bookmarkStart w:id="31" w:name="_ENREF_26"/>
      <w:r w:rsidRPr="007F63DD">
        <w:lastRenderedPageBreak/>
        <w:t>[26] V. Budarin, J.H. Clark, J.J.E. Hardy, R. Luque, K. Milkowski, S.J. Tavener, A.J. Wilson, Starbons: New Starch-Derived Mesoporous Carbonaceous Materials with Tunable Properties, Angew. Chem. Int. Ed., 45 (2006) 3782-3786.</w:t>
      </w:r>
      <w:bookmarkEnd w:id="31"/>
    </w:p>
    <w:p w:rsidR="005E3465" w:rsidRPr="007F63DD" w:rsidRDefault="005E3465" w:rsidP="006A2C3C">
      <w:pPr>
        <w:pStyle w:val="EndNoteBibliography"/>
        <w:spacing w:after="0"/>
        <w:jc w:val="both"/>
      </w:pPr>
      <w:bookmarkStart w:id="32" w:name="_ENREF_27"/>
      <w:r w:rsidRPr="007F63DD">
        <w:t>[27] J.C. Colmenares, P. Lisowski, D. Lomot, A novel biomass-based support (Starbon) for TiO</w:t>
      </w:r>
      <w:r w:rsidRPr="007F63DD">
        <w:rPr>
          <w:vertAlign w:val="subscript"/>
        </w:rPr>
        <w:t>2</w:t>
      </w:r>
      <w:r w:rsidRPr="007F63DD">
        <w:t xml:space="preserve"> hybrid photocatalysts: a versatile green tool for water purification, RSC Advances, 3 (2013) 20186-20192.</w:t>
      </w:r>
      <w:bookmarkEnd w:id="32"/>
    </w:p>
    <w:p w:rsidR="005E3465" w:rsidRPr="007F63DD" w:rsidRDefault="005E3465" w:rsidP="006A2C3C">
      <w:pPr>
        <w:pStyle w:val="EndNoteBibliography"/>
        <w:spacing w:after="0"/>
        <w:jc w:val="both"/>
      </w:pPr>
      <w:bookmarkStart w:id="33" w:name="_ENREF_28"/>
      <w:r w:rsidRPr="007F63DD">
        <w:t>[28] A.H. El-Sheikha, A.P. Newmana, H. Al-Daffaeea, S. Phulla, N. Cresswell, S. York, Deposition of anatase on the surface of activated carbon, Surf. Coat. Technol., 187 (2004) 284– 292.</w:t>
      </w:r>
      <w:bookmarkEnd w:id="33"/>
    </w:p>
    <w:p w:rsidR="005E3465" w:rsidRPr="007F63DD" w:rsidRDefault="005E3465" w:rsidP="006A2C3C">
      <w:pPr>
        <w:pStyle w:val="EndNoteBibliography"/>
        <w:spacing w:after="0"/>
        <w:jc w:val="both"/>
      </w:pPr>
      <w:bookmarkStart w:id="34" w:name="_ENREF_29"/>
      <w:r w:rsidRPr="007F63DD">
        <w:t>[29] Rowan Leary, A. Westwood, Carbonaceous nanomaterials for the enhancement of TiO</w:t>
      </w:r>
      <w:r w:rsidRPr="007F63DD">
        <w:rPr>
          <w:vertAlign w:val="subscript"/>
        </w:rPr>
        <w:t xml:space="preserve">2 </w:t>
      </w:r>
      <w:r w:rsidRPr="007F63DD">
        <w:t>photocatalysis, Carbon, 49 (2011) 741-772.</w:t>
      </w:r>
      <w:bookmarkEnd w:id="34"/>
    </w:p>
    <w:p w:rsidR="005E3465" w:rsidRPr="007F63DD" w:rsidRDefault="005E3465" w:rsidP="008C2C8E">
      <w:pPr>
        <w:pStyle w:val="EndNoteBibliography"/>
        <w:spacing w:after="0"/>
        <w:jc w:val="both"/>
      </w:pPr>
      <w:bookmarkStart w:id="35" w:name="_ENREF_30"/>
      <w:r w:rsidRPr="007F63DD">
        <w:t>[30] G.L. Puma, A. Bono, D. Krishnaiah, J.G. Collin, Preparation of titanium dioxide photocatalyst loaded onto activated</w:t>
      </w:r>
      <w:r w:rsidR="006A2C3C" w:rsidRPr="007F63DD">
        <w:t xml:space="preserve"> </w:t>
      </w:r>
      <w:r w:rsidRPr="007F63DD">
        <w:t>carbon support using chemical vapor deposition: A review paper, J. Hazard. Mater., 157 (2008) 209-219.</w:t>
      </w:r>
      <w:bookmarkEnd w:id="35"/>
    </w:p>
    <w:p w:rsidR="005E3465" w:rsidRPr="007F63DD" w:rsidRDefault="005E3465" w:rsidP="006A2C3C">
      <w:pPr>
        <w:pStyle w:val="EndNoteBibliography"/>
        <w:spacing w:after="0"/>
        <w:jc w:val="both"/>
      </w:pPr>
      <w:bookmarkStart w:id="36" w:name="_ENREF_31"/>
      <w:r w:rsidRPr="007F63DD">
        <w:t>[31] J. Matos, J. Laine, J.M. Herrmann, Synergy effect in the photocatalytic degradation of phenol on a suspended mixture of titania and activated carbon, Appl. Catal. B, 18 (1998) 281-291.</w:t>
      </w:r>
      <w:bookmarkEnd w:id="36"/>
    </w:p>
    <w:p w:rsidR="005E3465" w:rsidRPr="007F63DD" w:rsidRDefault="005E3465" w:rsidP="006A2C3C">
      <w:pPr>
        <w:pStyle w:val="EndNoteBibliography"/>
        <w:spacing w:after="0"/>
        <w:jc w:val="both"/>
      </w:pPr>
      <w:bookmarkStart w:id="37" w:name="_ENREF_32"/>
      <w:r w:rsidRPr="007F63DD">
        <w:t>[32] A. Sirisuk, C.G. Hill Jr., M.A. Anderson, Photocatalytic degradation of ethylene over thin films of titania supported on glass rings, Catal. Today, 54 (1999) 159-164.</w:t>
      </w:r>
      <w:bookmarkEnd w:id="37"/>
    </w:p>
    <w:p w:rsidR="005E3465" w:rsidRPr="007F63DD" w:rsidRDefault="005E3465" w:rsidP="006A2C3C">
      <w:pPr>
        <w:pStyle w:val="EndNoteBibliography"/>
        <w:spacing w:after="0"/>
        <w:jc w:val="both"/>
      </w:pPr>
      <w:bookmarkStart w:id="38" w:name="_ENREF_33"/>
      <w:r w:rsidRPr="007F63DD">
        <w:t>[33] J.M. Coronado, M.E. Zorn, I. Tejedor-Tejedor, M.A. Anderson, Photocatalytic oxidation of ketones in the gas phase over TiO</w:t>
      </w:r>
      <w:r w:rsidRPr="007F63DD">
        <w:rPr>
          <w:vertAlign w:val="subscript"/>
        </w:rPr>
        <w:t>2</w:t>
      </w:r>
      <w:r w:rsidRPr="007F63DD">
        <w:t xml:space="preserve"> thin films: a kinetic study on the influence of water vapor, Appl. Catal. B, 43 (2003) 329-344.</w:t>
      </w:r>
      <w:bookmarkEnd w:id="38"/>
    </w:p>
    <w:p w:rsidR="005E3465" w:rsidRPr="007F63DD" w:rsidRDefault="005E3465" w:rsidP="006A2C3C">
      <w:pPr>
        <w:pStyle w:val="EndNoteBibliography"/>
        <w:spacing w:after="0"/>
        <w:jc w:val="both"/>
      </w:pPr>
      <w:bookmarkStart w:id="39" w:name="_ENREF_34"/>
      <w:r w:rsidRPr="007F63DD">
        <w:t>[34] I. Jansson, S. Suárez, F.J. García-García, B. Sánchez, ZSM-5/TiO</w:t>
      </w:r>
      <w:r w:rsidRPr="007F63DD">
        <w:rPr>
          <w:vertAlign w:val="subscript"/>
        </w:rPr>
        <w:t>2</w:t>
      </w:r>
      <w:r w:rsidRPr="007F63DD">
        <w:t xml:space="preserve"> Hybrid Photocatalysts: Influence of the Preparation Method and Synergistic Effect, Top. Catal., (2017) 1-12.</w:t>
      </w:r>
      <w:bookmarkEnd w:id="39"/>
    </w:p>
    <w:p w:rsidR="005E3465" w:rsidRPr="007F63DD" w:rsidRDefault="005E3465" w:rsidP="006A2C3C">
      <w:pPr>
        <w:pStyle w:val="EndNoteBibliography"/>
        <w:spacing w:after="0"/>
        <w:jc w:val="both"/>
      </w:pPr>
      <w:bookmarkStart w:id="40" w:name="_ENREF_35"/>
      <w:r w:rsidRPr="007F63DD">
        <w:t>[35] S.A.P.S.a.E.T.o.t.R.S.o.L. Philosophical Transactions of the Royal Society of London, Series A: Physical Sciences and EngineeringYoung, Thomas, An Essay on the Cohesion of Fluids, Philosophical Transactions of the Royal Society of London, 95 (1805) 65-87.</w:t>
      </w:r>
      <w:bookmarkEnd w:id="40"/>
    </w:p>
    <w:p w:rsidR="005E3465" w:rsidRPr="007F63DD" w:rsidRDefault="005E3465" w:rsidP="006A2C3C">
      <w:pPr>
        <w:pStyle w:val="EndNoteBibliography"/>
        <w:spacing w:after="0"/>
        <w:jc w:val="both"/>
      </w:pPr>
      <w:bookmarkStart w:id="41" w:name="_ENREF_36"/>
      <w:r w:rsidRPr="007F63DD">
        <w:t>[36] H. Daniels, A. Brown, A. Scott, T. Nichells, B. Rand, R. Brydson, Experimental and theoretical evidence for the magic angle in transmission electron energy loss spectroscopy, Ultramicroscopy, 96 (2003) 523-534.</w:t>
      </w:r>
      <w:bookmarkEnd w:id="41"/>
    </w:p>
    <w:p w:rsidR="005E3465" w:rsidRPr="007F63DD" w:rsidRDefault="005E3465" w:rsidP="006A2C3C">
      <w:pPr>
        <w:pStyle w:val="EndNoteBibliography"/>
        <w:spacing w:after="0"/>
        <w:jc w:val="both"/>
      </w:pPr>
      <w:bookmarkStart w:id="42" w:name="_ENREF_37"/>
      <w:r w:rsidRPr="007F63DD">
        <w:lastRenderedPageBreak/>
        <w:t>[37] J. Choma, J. Górka, M. Jaroniec, Mesoporous carbons synthesized by soft-templating method: Determination of pore size distribution from argon and nitrogen adsorption isotherms, Microporous Mesoporous Mater., 112 (2008) 573-579.</w:t>
      </w:r>
      <w:bookmarkEnd w:id="42"/>
    </w:p>
    <w:p w:rsidR="005E3465" w:rsidRPr="007F63DD" w:rsidRDefault="005E3465" w:rsidP="006A2C3C">
      <w:pPr>
        <w:pStyle w:val="EndNoteBibliography"/>
        <w:spacing w:after="0"/>
        <w:jc w:val="both"/>
      </w:pPr>
      <w:bookmarkStart w:id="43" w:name="_ENREF_38"/>
      <w:r w:rsidRPr="007F63DD">
        <w:t>[38] A. Allwar, A. Noor, M. Nawi, Textural Characteristics of Activated Carbons Prepared from Oil Palm Shells Activated with ZnCl</w:t>
      </w:r>
      <w:r w:rsidRPr="007F63DD">
        <w:rPr>
          <w:vertAlign w:val="subscript"/>
        </w:rPr>
        <w:t>2</w:t>
      </w:r>
      <w:r w:rsidRPr="007F63DD">
        <w:t xml:space="preserve"> and Pyrolysis Under Nitrogen and Carbon Dioxide J. Phys. Sci., 19 (2008) 93-104.</w:t>
      </w:r>
      <w:bookmarkEnd w:id="43"/>
    </w:p>
    <w:p w:rsidR="005E3465" w:rsidRPr="007F63DD" w:rsidRDefault="005E3465" w:rsidP="006A2C3C">
      <w:pPr>
        <w:pStyle w:val="EndNoteBibliography"/>
        <w:spacing w:after="0"/>
        <w:jc w:val="both"/>
      </w:pPr>
      <w:bookmarkStart w:id="44" w:name="_ENREF_39"/>
      <w:r w:rsidRPr="007F63DD">
        <w:t>[39] J. Yuan, L.M. Brown, Investigation of atomic structures of diamond-like amorphous carbon by electron energy loss spectroscopy, Micron, 31 (2000) 515-525.</w:t>
      </w:r>
      <w:bookmarkEnd w:id="44"/>
    </w:p>
    <w:p w:rsidR="005E3465" w:rsidRPr="007F63DD" w:rsidRDefault="005E3465" w:rsidP="006A2C3C">
      <w:pPr>
        <w:pStyle w:val="EndNoteBibliography"/>
        <w:spacing w:after="0"/>
        <w:jc w:val="both"/>
      </w:pPr>
      <w:bookmarkStart w:id="45" w:name="_ENREF_40"/>
      <w:r w:rsidRPr="007F63DD">
        <w:t>[40] P. González-García, T.A. Centeno, E. Urones-Garrote, D. Ávila-Brande, L.C. Otero-Díaz, Porous carbon nanospheres derived from chlorination of bis(cyclopentadienyl)titanium dichloride and their electrochemical capacitor performance, Mater. Chem. Phys., 130 (2011) 243-250.</w:t>
      </w:r>
      <w:bookmarkEnd w:id="45"/>
    </w:p>
    <w:p w:rsidR="005E3465" w:rsidRPr="007F63DD" w:rsidRDefault="005E3465" w:rsidP="006A2C3C">
      <w:pPr>
        <w:pStyle w:val="EndNoteBibliography"/>
        <w:spacing w:after="0"/>
        <w:jc w:val="both"/>
      </w:pPr>
      <w:bookmarkStart w:id="46" w:name="_ENREF_41"/>
      <w:r w:rsidRPr="007F63DD">
        <w:t>[41] J. Zhao, L. Yang, F. Li, R. Yu, C. Jin, Structural evolution in the graphitization process of activated carbon by high-pressure sintering, Carbon, 47 (2009) 744-751.</w:t>
      </w:r>
      <w:bookmarkEnd w:id="46"/>
    </w:p>
    <w:p w:rsidR="005E3465" w:rsidRPr="007F63DD" w:rsidRDefault="005E3465" w:rsidP="006A2C3C">
      <w:pPr>
        <w:pStyle w:val="EndNoteBibliography"/>
        <w:spacing w:after="0"/>
        <w:jc w:val="both"/>
      </w:pPr>
      <w:bookmarkStart w:id="47" w:name="_ENREF_42"/>
      <w:r w:rsidRPr="007F63DD">
        <w:t>[42] W. Wei, Y. Chao, Z. Qingfei, Q. Xufang, L. Guisheng, W. Ying, Synergy effect in photodegradation of contaminants from water usingordered mesoporous carbon-based titania catalyst, Appl. Catal. B, 146 (2014) 151-161.</w:t>
      </w:r>
      <w:bookmarkEnd w:id="47"/>
    </w:p>
    <w:p w:rsidR="005E3465" w:rsidRPr="007F63DD" w:rsidRDefault="005E3465" w:rsidP="006A2C3C">
      <w:pPr>
        <w:pStyle w:val="EndNoteBibliography"/>
        <w:spacing w:after="0"/>
        <w:jc w:val="both"/>
      </w:pPr>
      <w:bookmarkStart w:id="48" w:name="_ENREF_43"/>
      <w:r w:rsidRPr="007F63DD">
        <w:t>[43] N. Miranda-García, S. Suárez, B. Sánchez, J.M. Coronado, S. Malato, M.I. Maldonado, Photocatalytic degradation of emerging contaminants in municipal wastewater treatment plant effluents using immobilized TiO</w:t>
      </w:r>
      <w:r w:rsidRPr="007F63DD">
        <w:rPr>
          <w:vertAlign w:val="subscript"/>
        </w:rPr>
        <w:t>2</w:t>
      </w:r>
      <w:r w:rsidRPr="007F63DD">
        <w:t xml:space="preserve"> in a solar pilot plant, Appl. Catal. B, 103 (2011) 294-301.</w:t>
      </w:r>
      <w:bookmarkEnd w:id="48"/>
    </w:p>
    <w:p w:rsidR="005E3465" w:rsidRPr="007F63DD" w:rsidRDefault="005E3465" w:rsidP="006A2C3C">
      <w:pPr>
        <w:pStyle w:val="EndNoteBibliography"/>
        <w:spacing w:after="0"/>
        <w:jc w:val="both"/>
      </w:pPr>
      <w:bookmarkStart w:id="49" w:name="_ENREF_44"/>
      <w:r w:rsidRPr="007F63DD">
        <w:t>[44] A. García, J. Matos, Photocatalytic Activity of TiO</w:t>
      </w:r>
      <w:r w:rsidRPr="007F63DD">
        <w:rPr>
          <w:vertAlign w:val="subscript"/>
        </w:rPr>
        <w:t>2</w:t>
      </w:r>
      <w:r w:rsidRPr="007F63DD">
        <w:t xml:space="preserve"> on Activated Carbon Under Visible Light</w:t>
      </w:r>
      <w:r w:rsidR="006A2C3C" w:rsidRPr="007F63DD">
        <w:t xml:space="preserve"> </w:t>
      </w:r>
      <w:r w:rsidRPr="007F63DD">
        <w:t>in the Photodegradation of Phenol, The Open Materials Science Journal, 4 (2010) 2-4.</w:t>
      </w:r>
      <w:bookmarkEnd w:id="49"/>
    </w:p>
    <w:p w:rsidR="005E3465" w:rsidRPr="007F63DD" w:rsidRDefault="005E3465" w:rsidP="006A2C3C">
      <w:pPr>
        <w:pStyle w:val="EndNoteBibliography"/>
        <w:spacing w:after="0"/>
        <w:jc w:val="both"/>
      </w:pPr>
      <w:bookmarkStart w:id="50" w:name="_ENREF_45"/>
      <w:r w:rsidRPr="007F63DD">
        <w:t>[45] R. Förch, A. Tobias, A. Jenkins, Surface Design: Applications in Bioscience and Nanotechnology, John Wiley &amp; Sons, Weinheim, Alemania, 2009.</w:t>
      </w:r>
      <w:bookmarkEnd w:id="50"/>
    </w:p>
    <w:p w:rsidR="005E3465" w:rsidRPr="007F63DD" w:rsidRDefault="005E3465" w:rsidP="006A2C3C">
      <w:pPr>
        <w:pStyle w:val="EndNoteBibliography"/>
        <w:spacing w:after="0"/>
        <w:jc w:val="both"/>
      </w:pPr>
      <w:bookmarkStart w:id="51" w:name="_ENREF_46"/>
      <w:r w:rsidRPr="007F63DD">
        <w:t>[46] H. Liu, X. Wang, C. Pan, K.M. Liew, First-Principles Study of Formaldehyde Adsorption on TiO</w:t>
      </w:r>
      <w:r w:rsidRPr="007F63DD">
        <w:rPr>
          <w:vertAlign w:val="subscript"/>
        </w:rPr>
        <w:t>2</w:t>
      </w:r>
      <w:r w:rsidRPr="007F63DD">
        <w:t xml:space="preserve"> Rutile (110) and Anatase (001) Surfaces, J</w:t>
      </w:r>
      <w:r w:rsidR="00BB241C" w:rsidRPr="007F63DD">
        <w:t>. Phys.</w:t>
      </w:r>
      <w:r w:rsidRPr="007F63DD">
        <w:t xml:space="preserve"> Chem</w:t>
      </w:r>
      <w:r w:rsidR="00BB241C" w:rsidRPr="007F63DD">
        <w:t>.</w:t>
      </w:r>
      <w:r w:rsidRPr="007F63DD">
        <w:t xml:space="preserve"> C, 116 (2012) 8044-8053.</w:t>
      </w:r>
      <w:bookmarkEnd w:id="51"/>
    </w:p>
    <w:p w:rsidR="005E3465" w:rsidRPr="007F63DD" w:rsidRDefault="005E3465" w:rsidP="006A2C3C">
      <w:pPr>
        <w:pStyle w:val="EndNoteBibliography"/>
        <w:spacing w:after="0"/>
        <w:jc w:val="both"/>
      </w:pPr>
      <w:bookmarkStart w:id="52" w:name="_ENREF_47"/>
      <w:r w:rsidRPr="007F63DD">
        <w:t>[47] W. Diao, J. He, Q. Wang, X. Rao, Y. Zhang, K, Na and Cl co-doped TiO</w:t>
      </w:r>
      <w:r w:rsidRPr="007F63DD">
        <w:rPr>
          <w:vertAlign w:val="subscript"/>
        </w:rPr>
        <w:t>2</w:t>
      </w:r>
      <w:r w:rsidRPr="007F63DD">
        <w:t xml:space="preserve"> nanorod arrays on carbon cloth for efficient photocatalytic degradation of formaldehyde under UV/vi</w:t>
      </w:r>
      <w:r w:rsidR="00BB241C" w:rsidRPr="007F63DD">
        <w:t>sible LED irradiation, Catal. Sci. Technol.</w:t>
      </w:r>
      <w:r w:rsidRPr="007F63DD">
        <w:t>, 11 (2021) 230-238.</w:t>
      </w:r>
      <w:bookmarkEnd w:id="52"/>
    </w:p>
    <w:p w:rsidR="005E3465" w:rsidRPr="007F63DD" w:rsidRDefault="005E3465" w:rsidP="006A2C3C">
      <w:pPr>
        <w:pStyle w:val="EndNoteBibliography"/>
        <w:spacing w:after="0"/>
        <w:jc w:val="both"/>
      </w:pPr>
      <w:bookmarkStart w:id="53" w:name="_ENREF_48"/>
      <w:r w:rsidRPr="007F63DD">
        <w:t xml:space="preserve">[48] F. Wang, Y. Feng, P. Chen, Y. Wang, Y. Su, Q. Zhang, Y. Zeng, Z. Xie, H. Liu, Y. Liu, W. Lv, G. Liu, Photocatalytic degradation of fluoroquinolone antibiotics using </w:t>
      </w:r>
      <w:r w:rsidRPr="007F63DD">
        <w:lastRenderedPageBreak/>
        <w:t>ordered mesoporous g-C</w:t>
      </w:r>
      <w:r w:rsidRPr="007F63DD">
        <w:rPr>
          <w:vertAlign w:val="subscript"/>
        </w:rPr>
        <w:t>3</w:t>
      </w:r>
      <w:r w:rsidRPr="007F63DD">
        <w:t>N</w:t>
      </w:r>
      <w:r w:rsidRPr="007F63DD">
        <w:rPr>
          <w:vertAlign w:val="subscript"/>
        </w:rPr>
        <w:t>4</w:t>
      </w:r>
      <w:r w:rsidRPr="007F63DD">
        <w:t xml:space="preserve"> under simulated sunlight irradiation: Kinetics, mechanism, and antibacterial activity elimination, Appl. Catal. B, 227 (2018) 114-122.</w:t>
      </w:r>
      <w:bookmarkEnd w:id="53"/>
    </w:p>
    <w:p w:rsidR="005E3465" w:rsidRPr="007F63DD" w:rsidRDefault="005E3465" w:rsidP="006A2C3C">
      <w:pPr>
        <w:pStyle w:val="EndNoteBibliography"/>
        <w:spacing w:after="0"/>
        <w:jc w:val="both"/>
      </w:pPr>
      <w:bookmarkStart w:id="54" w:name="_ENREF_49"/>
      <w:r w:rsidRPr="007F63DD">
        <w:t>[49] C.D. Wagner, W.M. Riggs, L.E. Davis, J.F. Moulder, G.E. Muilenberg, Handbook of X-ray photoelectron spectroscopy, Perkin-Elmer Corporation, Minnesota, 1979.</w:t>
      </w:r>
      <w:bookmarkEnd w:id="54"/>
    </w:p>
    <w:p w:rsidR="005E3465" w:rsidRPr="007F63DD" w:rsidRDefault="005E3465" w:rsidP="006A2C3C">
      <w:pPr>
        <w:pStyle w:val="EndNoteBibliography"/>
        <w:spacing w:after="0"/>
        <w:jc w:val="both"/>
      </w:pPr>
      <w:bookmarkStart w:id="55" w:name="_ENREF_50"/>
      <w:r w:rsidRPr="007F63DD">
        <w:t>[50] T.x. Liu, F.b. Li, X.z. Li, TiO&lt;sub&gt;2&lt;/sub&gt; hydrosols with high activity for photocatalytic degradation of formaldehyde in a gaseous phase, J. Hazard. Mater., 152 (2008) 347-355.</w:t>
      </w:r>
      <w:bookmarkEnd w:id="55"/>
    </w:p>
    <w:p w:rsidR="005E3465" w:rsidRPr="007F63DD" w:rsidRDefault="005E3465" w:rsidP="006A2C3C">
      <w:pPr>
        <w:pStyle w:val="EndNoteBibliography"/>
        <w:spacing w:after="0"/>
        <w:jc w:val="both"/>
      </w:pPr>
      <w:bookmarkStart w:id="56" w:name="_ENREF_51"/>
      <w:r w:rsidRPr="007F63DD">
        <w:t>[51] F. Shiraishi, S. Yamaguchi, Y. Ohbuchi, A rapid treatment of formaldehyde in a highly tight room using a photocatalytic reactor combined with a continuous adsorption and desorption apparatus, Chem. Eng. Sci., 58 (2003) 929-934.</w:t>
      </w:r>
      <w:bookmarkEnd w:id="56"/>
    </w:p>
    <w:p w:rsidR="005E3465" w:rsidRPr="007F63DD" w:rsidRDefault="005E3465" w:rsidP="006A2C3C">
      <w:pPr>
        <w:pStyle w:val="EndNoteBibliography"/>
        <w:spacing w:after="0"/>
        <w:jc w:val="both"/>
      </w:pPr>
      <w:bookmarkStart w:id="57" w:name="_ENREF_52"/>
      <w:r w:rsidRPr="007F63DD">
        <w:t>[52] M.D. Driessen, T.M. Miller, V.H. Grassian, Photocatalytic oxidation of trichloroethylene on zinc oxide: Characterization of surface-bound and gas-phase products and intermediates with FT-IR spectroscopy, J. Mol. Catal. A: Chem., 131 (1998) 149-156.</w:t>
      </w:r>
      <w:bookmarkEnd w:id="57"/>
    </w:p>
    <w:p w:rsidR="005E3465" w:rsidRPr="007F63DD" w:rsidRDefault="005E3465" w:rsidP="006A2C3C">
      <w:pPr>
        <w:pStyle w:val="EndNoteBibliography"/>
        <w:jc w:val="both"/>
      </w:pPr>
      <w:bookmarkStart w:id="58" w:name="_ENREF_53"/>
      <w:r w:rsidRPr="007F63DD">
        <w:t>[53] J. Fan, J.T. Yates, Mechanism of Photooxidation of Trichloroethylene on TiO</w:t>
      </w:r>
      <w:r w:rsidRPr="007F63DD">
        <w:rPr>
          <w:vertAlign w:val="subscript"/>
        </w:rPr>
        <w:t>2</w:t>
      </w:r>
      <w:r w:rsidRPr="007F63DD">
        <w:t>: Detection of Intermediates by Infrared Spectroscopy, J. Am. Chem. Soc., 118 (1996) 4686-4692.</w:t>
      </w:r>
      <w:bookmarkEnd w:id="58"/>
    </w:p>
    <w:p w:rsidR="005E3465" w:rsidRPr="007F63DD" w:rsidRDefault="005E3465" w:rsidP="00BF0B42">
      <w:pPr>
        <w:spacing w:after="0" w:line="240" w:lineRule="auto"/>
        <w:ind w:left="720" w:hanging="720"/>
        <w:rPr>
          <w:rFonts w:ascii="Times New Roman" w:hAnsi="Times New Roman" w:cs="Times New Roman"/>
          <w:sz w:val="24"/>
          <w:szCs w:val="24"/>
        </w:rPr>
      </w:pPr>
    </w:p>
    <w:p w:rsidR="00F5610B" w:rsidRPr="007F63DD" w:rsidRDefault="00F5610B">
      <w:r w:rsidRPr="007F63DD">
        <w:br w:type="page"/>
      </w:r>
    </w:p>
    <w:p w:rsidR="00F5610B" w:rsidRPr="007F63DD" w:rsidRDefault="00F5610B" w:rsidP="00F5610B">
      <w:pPr>
        <w:pStyle w:val="EstiloTesis"/>
      </w:pPr>
      <w:r w:rsidRPr="007F63DD">
        <w:lastRenderedPageBreak/>
        <w:t xml:space="preserve">Table </w:t>
      </w:r>
      <w:r w:rsidRPr="007F63DD">
        <w:fldChar w:fldCharType="begin"/>
      </w:r>
      <w:r w:rsidRPr="007F63DD">
        <w:instrText xml:space="preserve"> SEQ Table \* ARABIC </w:instrText>
      </w:r>
      <w:r w:rsidRPr="007F63DD">
        <w:fldChar w:fldCharType="separate"/>
      </w:r>
      <w:r w:rsidRPr="007F63DD">
        <w:t>1</w:t>
      </w:r>
      <w:r w:rsidRPr="007F63DD">
        <w:fldChar w:fldCharType="end"/>
      </w:r>
      <w:r w:rsidRPr="007F63DD">
        <w:t>. Properties of raw materials and carbon/TiO</w:t>
      </w:r>
      <w:r w:rsidRPr="007F63DD">
        <w:rPr>
          <w:vertAlign w:val="subscript"/>
        </w:rPr>
        <w:t>2</w:t>
      </w:r>
      <w:r w:rsidRPr="007F63DD">
        <w:t xml:space="preserve"> composites</w:t>
      </w:r>
    </w:p>
    <w:tbl>
      <w:tblPr>
        <w:tblStyle w:val="Sombreadoclaro"/>
        <w:tblpPr w:leftFromText="141" w:rightFromText="141" w:vertAnchor="text" w:horzAnchor="margin" w:tblpY="249"/>
        <w:tblW w:w="10031" w:type="dxa"/>
        <w:tblBorders>
          <w:top w:val="none" w:sz="0" w:space="0" w:color="auto"/>
          <w:bottom w:val="none" w:sz="0" w:space="0" w:color="auto"/>
        </w:tblBorders>
        <w:tblLayout w:type="fixed"/>
        <w:tblLook w:val="01E0" w:firstRow="1" w:lastRow="1" w:firstColumn="1" w:lastColumn="1" w:noHBand="0" w:noVBand="0"/>
      </w:tblPr>
      <w:tblGrid>
        <w:gridCol w:w="959"/>
        <w:gridCol w:w="992"/>
        <w:gridCol w:w="709"/>
        <w:gridCol w:w="850"/>
        <w:gridCol w:w="851"/>
        <w:gridCol w:w="709"/>
        <w:gridCol w:w="708"/>
        <w:gridCol w:w="709"/>
        <w:gridCol w:w="709"/>
        <w:gridCol w:w="709"/>
        <w:gridCol w:w="141"/>
        <w:gridCol w:w="567"/>
        <w:gridCol w:w="284"/>
        <w:gridCol w:w="1134"/>
      </w:tblGrid>
      <w:tr w:rsidR="007F63DD" w:rsidRPr="007F63DD" w:rsidTr="00F5610B">
        <w:trPr>
          <w:cnfStyle w:val="100000000000" w:firstRow="1" w:lastRow="0" w:firstColumn="0" w:lastColumn="0" w:oddVBand="0" w:evenVBand="0" w:oddHBand="0" w:evenHBand="0" w:firstRowFirstColumn="0" w:firstRowLastColumn="0" w:lastRowFirstColumn="0" w:lastRowLastColumn="0"/>
          <w:trHeight w:hRule="exact" w:val="728"/>
        </w:trPr>
        <w:tc>
          <w:tcPr>
            <w:cnfStyle w:val="001000000000" w:firstRow="0" w:lastRow="0" w:firstColumn="1" w:lastColumn="0" w:oddVBand="0" w:evenVBand="0" w:oddHBand="0" w:evenHBand="0" w:firstRowFirstColumn="0" w:firstRowLastColumn="0" w:lastRowFirstColumn="0" w:lastRowLastColumn="0"/>
            <w:tcW w:w="959" w:type="dxa"/>
            <w:vMerge w:val="restart"/>
            <w:tcBorders>
              <w:top w:val="single" w:sz="4" w:space="0" w:color="auto"/>
            </w:tcBorders>
            <w:shd w:val="clear" w:color="auto" w:fill="D9D9D9" w:themeFill="background1" w:themeFillShade="D9"/>
          </w:tcPr>
          <w:p w:rsidR="00F5610B" w:rsidRPr="007F63DD" w:rsidRDefault="00F5610B" w:rsidP="00B64114">
            <w:pPr>
              <w:spacing w:after="200" w:line="276" w:lineRule="auto"/>
              <w:rPr>
                <w:rFonts w:ascii="Times New Roman" w:hAnsi="Times New Roman" w:cs="Times New Roman"/>
                <w:b w:val="0"/>
                <w:color w:val="auto"/>
                <w:sz w:val="24"/>
                <w:szCs w:val="24"/>
                <w:lang w:val="en-US"/>
              </w:rPr>
            </w:pPr>
          </w:p>
          <w:p w:rsidR="00F5610B" w:rsidRPr="007F63DD" w:rsidRDefault="00F5610B" w:rsidP="00B64114">
            <w:pPr>
              <w:spacing w:after="200" w:line="276" w:lineRule="auto"/>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Sample</w:t>
            </w:r>
          </w:p>
        </w:tc>
        <w:tc>
          <w:tcPr>
            <w:cnfStyle w:val="000010000000" w:firstRow="0" w:lastRow="0" w:firstColumn="0" w:lastColumn="0" w:oddVBand="1" w:evenVBand="0" w:oddHBand="0" w:evenHBand="0" w:firstRowFirstColumn="0" w:firstRowLastColumn="0" w:lastRowFirstColumn="0" w:lastRowLastColumn="0"/>
            <w:tcW w:w="992" w:type="dxa"/>
            <w:vMerge w:val="restart"/>
            <w:tcBorders>
              <w:top w:val="single" w:sz="4" w:space="0" w:color="auto"/>
            </w:tcBorders>
            <w:shd w:val="clear" w:color="auto" w:fill="D9D9D9" w:themeFill="background1" w:themeFillShade="D9"/>
          </w:tcPr>
          <w:p w:rsidR="00F5610B" w:rsidRPr="007F63DD" w:rsidRDefault="00F5610B" w:rsidP="00B64114">
            <w:pPr>
              <w:spacing w:after="200" w:line="276" w:lineRule="auto"/>
              <w:rPr>
                <w:rFonts w:ascii="Times New Roman" w:hAnsi="Times New Roman" w:cs="Times New Roman"/>
                <w:b w:val="0"/>
                <w:color w:val="auto"/>
                <w:sz w:val="24"/>
                <w:szCs w:val="24"/>
              </w:rPr>
            </w:pPr>
          </w:p>
          <w:p w:rsidR="00F5610B" w:rsidRPr="007F63DD" w:rsidRDefault="00F5610B" w:rsidP="00B64114">
            <w:pPr>
              <w:spacing w:after="200" w:line="276" w:lineRule="auto"/>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Material</w:t>
            </w:r>
          </w:p>
        </w:tc>
        <w:tc>
          <w:tcPr>
            <w:tcW w:w="709" w:type="dxa"/>
            <w:vMerge w:val="restart"/>
            <w:tcBorders>
              <w:top w:val="single" w:sz="4" w:space="0" w:color="auto"/>
            </w:tcBorders>
            <w:shd w:val="clear" w:color="auto" w:fill="D9D9D9" w:themeFill="background1" w:themeFillShade="D9"/>
          </w:tcPr>
          <w:p w:rsidR="00F5610B" w:rsidRPr="007F63DD" w:rsidRDefault="00F5610B" w:rsidP="00B6411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F5610B" w:rsidRPr="007F63DD" w:rsidRDefault="00F5610B" w:rsidP="00B6411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F5610B" w:rsidRPr="007F63DD" w:rsidRDefault="00F5610B" w:rsidP="00B6411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T</w:t>
            </w:r>
          </w:p>
        </w:tc>
        <w:tc>
          <w:tcPr>
            <w:cnfStyle w:val="000010000000" w:firstRow="0" w:lastRow="0" w:firstColumn="0" w:lastColumn="0" w:oddVBand="1" w:evenVBand="0" w:oddHBand="0" w:evenHBand="0" w:firstRowFirstColumn="0" w:firstRowLastColumn="0" w:lastRowFirstColumn="0" w:lastRowLastColumn="0"/>
            <w:tcW w:w="850" w:type="dxa"/>
            <w:vMerge w:val="restart"/>
            <w:tcBorders>
              <w:top w:val="single" w:sz="4" w:space="0" w:color="auto"/>
            </w:tcBorders>
            <w:shd w:val="clear" w:color="auto" w:fill="D9D9D9" w:themeFill="background1" w:themeFillShade="D9"/>
          </w:tcPr>
          <w:p w:rsidR="00F5610B" w:rsidRPr="007F63DD" w:rsidRDefault="00F5610B" w:rsidP="00B64114">
            <w:pPr>
              <w:jc w:val="center"/>
              <w:rPr>
                <w:rFonts w:ascii="Times New Roman" w:hAnsi="Times New Roman" w:cs="Times New Roman"/>
                <w:b w:val="0"/>
                <w:color w:val="auto"/>
                <w:sz w:val="24"/>
                <w:szCs w:val="24"/>
              </w:rPr>
            </w:pPr>
          </w:p>
          <w:p w:rsidR="00F5610B" w:rsidRPr="007F63DD" w:rsidRDefault="00F5610B" w:rsidP="00B64114">
            <w:pPr>
              <w:jc w:val="cente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BET</w:t>
            </w:r>
          </w:p>
          <w:p w:rsidR="00F5610B" w:rsidRPr="007F63DD" w:rsidRDefault="00F5610B" w:rsidP="00B64114">
            <w:pPr>
              <w:jc w:val="cente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Area</w:t>
            </w:r>
          </w:p>
        </w:tc>
        <w:tc>
          <w:tcPr>
            <w:tcW w:w="851" w:type="dxa"/>
            <w:vMerge w:val="restart"/>
            <w:tcBorders>
              <w:top w:val="single" w:sz="4" w:space="0" w:color="auto"/>
            </w:tcBorders>
            <w:shd w:val="clear" w:color="auto" w:fill="D9D9D9" w:themeFill="background1" w:themeFillShade="D9"/>
          </w:tcPr>
          <w:p w:rsidR="00F5610B" w:rsidRPr="007F63DD" w:rsidRDefault="00F5610B" w:rsidP="00B6411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F5610B" w:rsidRPr="007F63DD" w:rsidRDefault="00F5610B" w:rsidP="00B6411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 xml:space="preserve">Area </w:t>
            </w:r>
          </w:p>
          <w:p w:rsidR="00F5610B" w:rsidRPr="007F63DD" w:rsidRDefault="00F5610B" w:rsidP="00B6411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micro</w:t>
            </w:r>
          </w:p>
        </w:tc>
        <w:tc>
          <w:tcPr>
            <w:cnfStyle w:val="000010000000" w:firstRow="0" w:lastRow="0" w:firstColumn="0" w:lastColumn="0" w:oddVBand="1" w:evenVBand="0" w:oddHBand="0" w:evenHBand="0" w:firstRowFirstColumn="0" w:firstRowLastColumn="0" w:lastRowFirstColumn="0" w:lastRowLastColumn="0"/>
            <w:tcW w:w="709" w:type="dxa"/>
            <w:vMerge w:val="restart"/>
            <w:tcBorders>
              <w:top w:val="single" w:sz="4" w:space="0" w:color="auto"/>
            </w:tcBorders>
            <w:shd w:val="clear" w:color="auto" w:fill="D9D9D9" w:themeFill="background1" w:themeFillShade="D9"/>
          </w:tcPr>
          <w:p w:rsidR="00F5610B" w:rsidRPr="007F63DD" w:rsidRDefault="00F5610B" w:rsidP="00B64114">
            <w:pPr>
              <w:jc w:val="center"/>
              <w:rPr>
                <w:rFonts w:ascii="Times New Roman" w:hAnsi="Times New Roman" w:cs="Times New Roman"/>
                <w:b w:val="0"/>
                <w:color w:val="auto"/>
                <w:sz w:val="24"/>
                <w:szCs w:val="24"/>
              </w:rPr>
            </w:pPr>
          </w:p>
          <w:p w:rsidR="00F5610B" w:rsidRPr="007F63DD" w:rsidRDefault="00F5610B" w:rsidP="00B64114">
            <w:pPr>
              <w:jc w:val="cente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Area external</w:t>
            </w:r>
          </w:p>
        </w:tc>
        <w:tc>
          <w:tcPr>
            <w:tcW w:w="2126" w:type="dxa"/>
            <w:gridSpan w:val="3"/>
            <w:tcBorders>
              <w:top w:val="single" w:sz="4" w:space="0" w:color="auto"/>
            </w:tcBorders>
            <w:shd w:val="clear" w:color="auto" w:fill="D9D9D9" w:themeFill="background1" w:themeFillShade="D9"/>
          </w:tcPr>
          <w:p w:rsidR="00F5610B" w:rsidRPr="007F63DD" w:rsidRDefault="00F5610B" w:rsidP="00B6411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p w:rsidR="00F5610B" w:rsidRPr="007F63DD" w:rsidRDefault="00F5610B" w:rsidP="00B6411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V</w:t>
            </w:r>
            <w:r w:rsidRPr="007F63DD">
              <w:rPr>
                <w:rFonts w:ascii="Times New Roman" w:hAnsi="Times New Roman" w:cs="Times New Roman"/>
                <w:b w:val="0"/>
                <w:color w:val="auto"/>
                <w:sz w:val="24"/>
                <w:szCs w:val="24"/>
                <w:vertAlign w:val="subscript"/>
              </w:rPr>
              <w:t>p</w:t>
            </w:r>
          </w:p>
        </w:tc>
        <w:tc>
          <w:tcPr>
            <w:cnfStyle w:val="000010000000" w:firstRow="0" w:lastRow="0" w:firstColumn="0" w:lastColumn="0" w:oddVBand="1" w:evenVBand="0" w:oddHBand="0" w:evenHBand="0" w:firstRowFirstColumn="0" w:firstRowLastColumn="0" w:lastRowFirstColumn="0" w:lastRowLastColumn="0"/>
            <w:tcW w:w="709" w:type="dxa"/>
            <w:vMerge w:val="restart"/>
            <w:tcBorders>
              <w:top w:val="single" w:sz="4" w:space="0" w:color="auto"/>
            </w:tcBorders>
            <w:shd w:val="clear" w:color="auto" w:fill="D9D9D9" w:themeFill="background1" w:themeFillShade="D9"/>
            <w:vAlign w:val="center"/>
          </w:tcPr>
          <w:p w:rsidR="00F5610B" w:rsidRPr="007F63DD" w:rsidRDefault="00F5610B" w:rsidP="00B64114">
            <w:pPr>
              <w:jc w:val="cente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Pore</w:t>
            </w:r>
          </w:p>
          <w:p w:rsidR="00F5610B" w:rsidRPr="007F63DD" w:rsidRDefault="00F5610B" w:rsidP="00B64114">
            <w:pPr>
              <w:jc w:val="cente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 xml:space="preserve"> size</w:t>
            </w:r>
          </w:p>
        </w:tc>
        <w:tc>
          <w:tcPr>
            <w:tcW w:w="992" w:type="dxa"/>
            <w:gridSpan w:val="3"/>
            <w:tcBorders>
              <w:top w:val="single" w:sz="4" w:space="0" w:color="auto"/>
            </w:tcBorders>
            <w:shd w:val="clear" w:color="auto" w:fill="D9D9D9" w:themeFill="background1" w:themeFillShade="D9"/>
            <w:vAlign w:val="center"/>
          </w:tcPr>
          <w:p w:rsidR="00F5610B" w:rsidRPr="007F63DD" w:rsidRDefault="00F5610B" w:rsidP="00B6411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HCHO</w:t>
            </w:r>
          </w:p>
          <w:p w:rsidR="00F5610B" w:rsidRPr="007F63DD" w:rsidRDefault="00F5610B" w:rsidP="00B6411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ads</w:t>
            </w:r>
          </w:p>
        </w:tc>
        <w:tc>
          <w:tcPr>
            <w:cnfStyle w:val="000100000000" w:firstRow="0" w:lastRow="0" w:firstColumn="0" w:lastColumn="1" w:oddVBand="0" w:evenVBand="0" w:oddHBand="0" w:evenHBand="0" w:firstRowFirstColumn="0" w:firstRowLastColumn="0" w:lastRowFirstColumn="0" w:lastRowLastColumn="0"/>
            <w:tcW w:w="1134" w:type="dxa"/>
            <w:tcBorders>
              <w:top w:val="single" w:sz="4" w:space="0" w:color="auto"/>
            </w:tcBorders>
            <w:shd w:val="clear" w:color="auto" w:fill="D9D9D9" w:themeFill="background1" w:themeFillShade="D9"/>
            <w:vAlign w:val="center"/>
          </w:tcPr>
          <w:p w:rsidR="00F5610B" w:rsidRPr="007F63DD" w:rsidRDefault="00F5610B" w:rsidP="00B64114">
            <w:pPr>
              <w:jc w:val="cente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C</w:t>
            </w:r>
            <w:r w:rsidRPr="007F63DD">
              <w:rPr>
                <w:rFonts w:ascii="Times New Roman" w:hAnsi="Times New Roman" w:cs="Times New Roman"/>
                <w:b w:val="0"/>
                <w:color w:val="auto"/>
                <w:sz w:val="24"/>
                <w:szCs w:val="24"/>
                <w:vertAlign w:val="subscript"/>
              </w:rPr>
              <w:t>2</w:t>
            </w:r>
            <w:r w:rsidRPr="007F63DD">
              <w:rPr>
                <w:rFonts w:ascii="Times New Roman" w:hAnsi="Times New Roman" w:cs="Times New Roman"/>
                <w:b w:val="0"/>
                <w:color w:val="auto"/>
                <w:sz w:val="24"/>
                <w:szCs w:val="24"/>
              </w:rPr>
              <w:t>HCl</w:t>
            </w:r>
            <w:r w:rsidRPr="007F63DD">
              <w:rPr>
                <w:rFonts w:ascii="Times New Roman" w:hAnsi="Times New Roman" w:cs="Times New Roman"/>
                <w:b w:val="0"/>
                <w:color w:val="auto"/>
                <w:sz w:val="24"/>
                <w:szCs w:val="24"/>
                <w:vertAlign w:val="subscript"/>
              </w:rPr>
              <w:t>3</w:t>
            </w:r>
            <w:r w:rsidRPr="007F63DD">
              <w:rPr>
                <w:rFonts w:ascii="Times New Roman" w:hAnsi="Times New Roman" w:cs="Times New Roman"/>
                <w:b w:val="0"/>
                <w:color w:val="auto"/>
                <w:sz w:val="24"/>
                <w:szCs w:val="24"/>
              </w:rPr>
              <w:t xml:space="preserve"> ads</w:t>
            </w: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272"/>
        </w:trPr>
        <w:tc>
          <w:tcPr>
            <w:cnfStyle w:val="001000000000" w:firstRow="0" w:lastRow="0" w:firstColumn="1" w:lastColumn="0" w:oddVBand="0" w:evenVBand="0" w:oddHBand="0" w:evenHBand="0" w:firstRowFirstColumn="0" w:firstRowLastColumn="0" w:lastRowFirstColumn="0" w:lastRowLastColumn="0"/>
            <w:tcW w:w="959" w:type="dxa"/>
            <w:vMerge/>
            <w:shd w:val="clear" w:color="auto" w:fill="D9D9D9" w:themeFill="background1" w:themeFillShade="D9"/>
            <w:vAlign w:val="center"/>
          </w:tcPr>
          <w:p w:rsidR="00F5610B" w:rsidRPr="007F63DD" w:rsidRDefault="00F5610B" w:rsidP="00B64114">
            <w:pPr>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92" w:type="dxa"/>
            <w:vMerge/>
            <w:shd w:val="clear" w:color="auto" w:fill="D9D9D9" w:themeFill="background1" w:themeFillShade="D9"/>
            <w:vAlign w:val="center"/>
          </w:tcPr>
          <w:p w:rsidR="00F5610B" w:rsidRPr="007F63DD" w:rsidRDefault="00F5610B" w:rsidP="00B64114">
            <w:pPr>
              <w:rPr>
                <w:rFonts w:ascii="Times New Roman" w:hAnsi="Times New Roman" w:cs="Times New Roman"/>
                <w:color w:val="auto"/>
                <w:sz w:val="24"/>
                <w:szCs w:val="24"/>
              </w:rPr>
            </w:pPr>
          </w:p>
        </w:tc>
        <w:tc>
          <w:tcPr>
            <w:tcW w:w="709" w:type="dxa"/>
            <w:vMerge/>
            <w:shd w:val="clear" w:color="auto" w:fill="D9D9D9" w:themeFill="background1" w:themeFillShade="D9"/>
          </w:tcPr>
          <w:p w:rsidR="00F5610B" w:rsidRPr="007F63DD" w:rsidRDefault="00F5610B" w:rsidP="00B6411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850" w:type="dxa"/>
            <w:vMerge/>
            <w:shd w:val="clear" w:color="auto" w:fill="D9D9D9" w:themeFill="background1" w:themeFillShade="D9"/>
          </w:tcPr>
          <w:p w:rsidR="00F5610B" w:rsidRPr="007F63DD" w:rsidRDefault="00F5610B" w:rsidP="00B64114">
            <w:pPr>
              <w:jc w:val="center"/>
              <w:rPr>
                <w:rFonts w:ascii="Times New Roman" w:hAnsi="Times New Roman" w:cs="Times New Roman"/>
                <w:color w:val="auto"/>
                <w:sz w:val="24"/>
                <w:szCs w:val="24"/>
              </w:rPr>
            </w:pPr>
          </w:p>
        </w:tc>
        <w:tc>
          <w:tcPr>
            <w:tcW w:w="851" w:type="dxa"/>
            <w:vMerge/>
            <w:shd w:val="clear" w:color="auto" w:fill="D9D9D9" w:themeFill="background1" w:themeFillShade="D9"/>
          </w:tcPr>
          <w:p w:rsidR="00F5610B" w:rsidRPr="007F63DD" w:rsidRDefault="00F5610B" w:rsidP="00B6411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709" w:type="dxa"/>
            <w:vMerge/>
            <w:shd w:val="clear" w:color="auto" w:fill="D9D9D9" w:themeFill="background1" w:themeFillShade="D9"/>
          </w:tcPr>
          <w:p w:rsidR="00F5610B" w:rsidRPr="007F63DD" w:rsidRDefault="00F5610B" w:rsidP="00B64114">
            <w:pPr>
              <w:jc w:val="center"/>
              <w:rPr>
                <w:rFonts w:ascii="Times New Roman" w:hAnsi="Times New Roman" w:cs="Times New Roman"/>
                <w:color w:val="auto"/>
                <w:sz w:val="24"/>
                <w:szCs w:val="24"/>
              </w:rPr>
            </w:pPr>
          </w:p>
        </w:tc>
        <w:tc>
          <w:tcPr>
            <w:tcW w:w="708" w:type="dxa"/>
            <w:shd w:val="clear" w:color="auto" w:fill="D9D9D9" w:themeFill="background1" w:themeFillShade="D9"/>
          </w:tcPr>
          <w:p w:rsidR="00F5610B" w:rsidRPr="007F63DD" w:rsidRDefault="00F5610B" w:rsidP="00B6411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vertAlign w:val="superscript"/>
              </w:rPr>
            </w:pPr>
            <w:r w:rsidRPr="007F63DD">
              <w:rPr>
                <w:rFonts w:ascii="Times New Roman" w:hAnsi="Times New Roman" w:cs="Times New Roman"/>
                <w:color w:val="auto"/>
                <w:sz w:val="24"/>
                <w:szCs w:val="24"/>
              </w:rPr>
              <w:t>v</w:t>
            </w:r>
            <w:r w:rsidRPr="007F63DD">
              <w:rPr>
                <w:rFonts w:ascii="Times New Roman" w:hAnsi="Times New Roman" w:cs="Times New Roman"/>
                <w:color w:val="auto"/>
                <w:sz w:val="24"/>
                <w:szCs w:val="24"/>
                <w:vertAlign w:val="subscript"/>
              </w:rPr>
              <w:t>T</w:t>
            </w:r>
          </w:p>
        </w:tc>
        <w:tc>
          <w:tcPr>
            <w:cnfStyle w:val="000010000000" w:firstRow="0" w:lastRow="0" w:firstColumn="0" w:lastColumn="0" w:oddVBand="1" w:evenVBand="0" w:oddHBand="0" w:evenHBand="0" w:firstRowFirstColumn="0" w:firstRowLastColumn="0" w:lastRowFirstColumn="0" w:lastRowLastColumn="0"/>
            <w:tcW w:w="709" w:type="dxa"/>
            <w:shd w:val="clear" w:color="auto" w:fill="D9D9D9" w:themeFill="background1" w:themeFillShade="D9"/>
          </w:tcPr>
          <w:p w:rsidR="00F5610B" w:rsidRPr="007F63DD" w:rsidRDefault="00F5610B" w:rsidP="00F5610B">
            <w:pPr>
              <w:rPr>
                <w:rFonts w:ascii="Times New Roman" w:hAnsi="Times New Roman" w:cs="Times New Roman"/>
                <w:color w:val="auto"/>
                <w:sz w:val="24"/>
                <w:szCs w:val="24"/>
              </w:rPr>
            </w:pPr>
            <w:r w:rsidRPr="007F63DD">
              <w:rPr>
                <w:rFonts w:ascii="Times New Roman" w:hAnsi="Times New Roman" w:cs="Times New Roman"/>
                <w:color w:val="auto"/>
                <w:sz w:val="24"/>
                <w:szCs w:val="24"/>
              </w:rPr>
              <w:t>micro</w:t>
            </w:r>
          </w:p>
        </w:tc>
        <w:tc>
          <w:tcPr>
            <w:tcW w:w="709" w:type="dxa"/>
            <w:shd w:val="clear" w:color="auto" w:fill="D9D9D9" w:themeFill="background1" w:themeFillShade="D9"/>
          </w:tcPr>
          <w:p w:rsidR="00F5610B" w:rsidRPr="007F63DD" w:rsidRDefault="00F5610B" w:rsidP="00B6411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meso</w:t>
            </w:r>
          </w:p>
          <w:p w:rsidR="00F5610B" w:rsidRPr="007F63DD" w:rsidRDefault="00F5610B" w:rsidP="00B6411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709" w:type="dxa"/>
            <w:vMerge/>
            <w:shd w:val="clear" w:color="auto" w:fill="D9D9D9" w:themeFill="background1" w:themeFillShade="D9"/>
          </w:tcPr>
          <w:p w:rsidR="00F5610B" w:rsidRPr="007F63DD" w:rsidRDefault="00F5610B" w:rsidP="00B64114">
            <w:pPr>
              <w:jc w:val="center"/>
              <w:rPr>
                <w:rFonts w:ascii="Times New Roman" w:hAnsi="Times New Roman" w:cs="Times New Roman"/>
                <w:bCs/>
                <w:color w:val="auto"/>
                <w:sz w:val="24"/>
                <w:szCs w:val="24"/>
              </w:rPr>
            </w:pPr>
          </w:p>
        </w:tc>
        <w:tc>
          <w:tcPr>
            <w:tcW w:w="992" w:type="dxa"/>
            <w:gridSpan w:val="3"/>
            <w:shd w:val="clear" w:color="auto" w:fill="D9D9D9" w:themeFill="background1" w:themeFillShade="D9"/>
          </w:tcPr>
          <w:p w:rsidR="00F5610B" w:rsidRPr="007F63DD" w:rsidRDefault="00F5610B" w:rsidP="00B6411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100000000" w:firstRow="0" w:lastRow="0" w:firstColumn="0" w:lastColumn="1" w:oddVBand="0" w:evenVBand="0" w:oddHBand="0" w:evenHBand="0" w:firstRowFirstColumn="0" w:firstRowLastColumn="0" w:lastRowFirstColumn="0" w:lastRowLastColumn="0"/>
            <w:tcW w:w="1134" w:type="dxa"/>
            <w:shd w:val="clear" w:color="auto" w:fill="D9D9D9" w:themeFill="background1" w:themeFillShade="D9"/>
          </w:tcPr>
          <w:p w:rsidR="00F5610B" w:rsidRPr="007F63DD" w:rsidRDefault="00F5610B" w:rsidP="00B64114">
            <w:pPr>
              <w:jc w:val="center"/>
              <w:rPr>
                <w:rFonts w:ascii="Times New Roman" w:hAnsi="Times New Roman" w:cs="Times New Roman"/>
                <w:b w:val="0"/>
                <w:color w:val="auto"/>
                <w:sz w:val="24"/>
                <w:szCs w:val="24"/>
              </w:rPr>
            </w:pPr>
          </w:p>
        </w:tc>
      </w:tr>
      <w:tr w:rsidR="007F63DD" w:rsidRPr="007F63DD" w:rsidTr="00F5610B">
        <w:trPr>
          <w:trHeight w:val="366"/>
        </w:trPr>
        <w:tc>
          <w:tcPr>
            <w:cnfStyle w:val="001000000000" w:firstRow="0" w:lastRow="0" w:firstColumn="1" w:lastColumn="0" w:oddVBand="0" w:evenVBand="0" w:oddHBand="0" w:evenHBand="0" w:firstRowFirstColumn="0" w:firstRowLastColumn="0" w:lastRowFirstColumn="0" w:lastRowLastColumn="0"/>
            <w:tcW w:w="959" w:type="dxa"/>
            <w:vMerge/>
            <w:tcBorders>
              <w:bottom w:val="single" w:sz="4" w:space="0" w:color="auto"/>
            </w:tcBorders>
            <w:shd w:val="clear" w:color="auto" w:fill="D9D9D9" w:themeFill="background1" w:themeFillShade="D9"/>
          </w:tcPr>
          <w:p w:rsidR="00F5610B" w:rsidRPr="007F63DD" w:rsidRDefault="00F5610B" w:rsidP="00B64114">
            <w:pPr>
              <w:spacing w:after="200" w:line="276" w:lineRule="auto"/>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92" w:type="dxa"/>
            <w:vMerge/>
            <w:tcBorders>
              <w:bottom w:val="single" w:sz="4" w:space="0" w:color="auto"/>
            </w:tcBorders>
            <w:shd w:val="clear" w:color="auto" w:fill="D9D9D9" w:themeFill="background1" w:themeFillShade="D9"/>
          </w:tcPr>
          <w:p w:rsidR="00F5610B" w:rsidRPr="007F63DD" w:rsidRDefault="00F5610B" w:rsidP="00B64114">
            <w:pPr>
              <w:spacing w:after="200" w:line="276" w:lineRule="auto"/>
              <w:rPr>
                <w:rFonts w:ascii="Times New Roman" w:hAnsi="Times New Roman" w:cs="Times New Roman"/>
                <w:color w:val="auto"/>
                <w:sz w:val="24"/>
                <w:szCs w:val="24"/>
              </w:rPr>
            </w:pPr>
          </w:p>
        </w:tc>
        <w:tc>
          <w:tcPr>
            <w:tcW w:w="709" w:type="dxa"/>
            <w:tcBorders>
              <w:bottom w:val="single" w:sz="4" w:space="0" w:color="auto"/>
            </w:tcBorders>
            <w:shd w:val="clear" w:color="auto" w:fill="D9D9D9" w:themeFill="background1" w:themeFillShade="D9"/>
            <w:vAlign w:val="center"/>
          </w:tcPr>
          <w:p w:rsidR="00F5610B" w:rsidRPr="007F63DD" w:rsidRDefault="00F5610B" w:rsidP="00B6411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ºC</w:t>
            </w:r>
          </w:p>
        </w:tc>
        <w:tc>
          <w:tcPr>
            <w:cnfStyle w:val="000010000000" w:firstRow="0" w:lastRow="0" w:firstColumn="0" w:lastColumn="0" w:oddVBand="1" w:evenVBand="0" w:oddHBand="0" w:evenHBand="0" w:firstRowFirstColumn="0" w:firstRowLastColumn="0" w:lastRowFirstColumn="0" w:lastRowLastColumn="0"/>
            <w:tcW w:w="850" w:type="dxa"/>
            <w:tcBorders>
              <w:bottom w:val="single" w:sz="4" w:space="0" w:color="auto"/>
            </w:tcBorders>
            <w:shd w:val="clear" w:color="auto" w:fill="D9D9D9" w:themeFill="background1" w:themeFillShade="D9"/>
            <w:vAlign w:val="center"/>
          </w:tcPr>
          <w:p w:rsidR="00F5610B" w:rsidRPr="007F63DD" w:rsidRDefault="00F5610B" w:rsidP="00B64114">
            <w:pPr>
              <w:jc w:val="center"/>
              <w:rPr>
                <w:rFonts w:ascii="Times New Roman" w:hAnsi="Times New Roman" w:cs="Times New Roman"/>
                <w:color w:val="auto"/>
                <w:sz w:val="24"/>
                <w:szCs w:val="24"/>
              </w:rPr>
            </w:pPr>
            <w:r w:rsidRPr="007F63DD">
              <w:rPr>
                <w:rFonts w:ascii="Times New Roman" w:hAnsi="Times New Roman" w:cs="Times New Roman"/>
                <w:color w:val="auto"/>
                <w:sz w:val="24"/>
                <w:szCs w:val="24"/>
              </w:rPr>
              <w:t>m</w:t>
            </w:r>
            <w:r w:rsidRPr="007F63DD">
              <w:rPr>
                <w:rFonts w:ascii="Times New Roman" w:hAnsi="Times New Roman" w:cs="Times New Roman"/>
                <w:color w:val="auto"/>
                <w:sz w:val="24"/>
                <w:szCs w:val="24"/>
                <w:vertAlign w:val="superscript"/>
              </w:rPr>
              <w:t xml:space="preserve">2 </w:t>
            </w:r>
            <w:r w:rsidRPr="007F63DD">
              <w:rPr>
                <w:rFonts w:ascii="Times New Roman" w:hAnsi="Times New Roman" w:cs="Times New Roman"/>
                <w:color w:val="auto"/>
                <w:sz w:val="24"/>
                <w:szCs w:val="24"/>
              </w:rPr>
              <w:t>g</w:t>
            </w:r>
            <w:r w:rsidRPr="007F63DD">
              <w:rPr>
                <w:rFonts w:ascii="Times New Roman" w:hAnsi="Times New Roman" w:cs="Times New Roman"/>
                <w:color w:val="auto"/>
                <w:sz w:val="24"/>
                <w:szCs w:val="24"/>
                <w:vertAlign w:val="superscript"/>
              </w:rPr>
              <w:t>-1</w:t>
            </w:r>
          </w:p>
        </w:tc>
        <w:tc>
          <w:tcPr>
            <w:tcW w:w="851" w:type="dxa"/>
            <w:tcBorders>
              <w:bottom w:val="single" w:sz="4" w:space="0" w:color="auto"/>
            </w:tcBorders>
            <w:shd w:val="clear" w:color="auto" w:fill="D9D9D9" w:themeFill="background1" w:themeFillShade="D9"/>
            <w:vAlign w:val="center"/>
          </w:tcPr>
          <w:p w:rsidR="00F5610B" w:rsidRPr="007F63DD" w:rsidRDefault="00F5610B" w:rsidP="00B6411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m</w:t>
            </w:r>
            <w:r w:rsidRPr="007F63DD">
              <w:rPr>
                <w:rFonts w:ascii="Times New Roman" w:hAnsi="Times New Roman" w:cs="Times New Roman"/>
                <w:color w:val="auto"/>
                <w:sz w:val="24"/>
                <w:szCs w:val="24"/>
                <w:vertAlign w:val="superscript"/>
              </w:rPr>
              <w:t xml:space="preserve">2 </w:t>
            </w:r>
            <w:r w:rsidRPr="007F63DD">
              <w:rPr>
                <w:rFonts w:ascii="Times New Roman" w:hAnsi="Times New Roman" w:cs="Times New Roman"/>
                <w:color w:val="auto"/>
                <w:sz w:val="24"/>
                <w:szCs w:val="24"/>
              </w:rPr>
              <w:t>g</w:t>
            </w:r>
            <w:r w:rsidRPr="007F63DD">
              <w:rPr>
                <w:rFonts w:ascii="Times New Roman" w:hAnsi="Times New Roman" w:cs="Times New Roman"/>
                <w:color w:val="auto"/>
                <w:sz w:val="24"/>
                <w:szCs w:val="24"/>
                <w:vertAlign w:val="superscript"/>
              </w:rPr>
              <w:t>-1</w:t>
            </w:r>
          </w:p>
        </w:tc>
        <w:tc>
          <w:tcPr>
            <w:cnfStyle w:val="000010000000" w:firstRow="0" w:lastRow="0" w:firstColumn="0" w:lastColumn="0" w:oddVBand="1" w:evenVBand="0" w:oddHBand="0" w:evenHBand="0" w:firstRowFirstColumn="0" w:firstRowLastColumn="0" w:lastRowFirstColumn="0" w:lastRowLastColumn="0"/>
            <w:tcW w:w="709" w:type="dxa"/>
            <w:tcBorders>
              <w:bottom w:val="single" w:sz="4" w:space="0" w:color="auto"/>
            </w:tcBorders>
            <w:shd w:val="clear" w:color="auto" w:fill="D9D9D9" w:themeFill="background1" w:themeFillShade="D9"/>
            <w:vAlign w:val="center"/>
          </w:tcPr>
          <w:p w:rsidR="00F5610B" w:rsidRPr="007F63DD" w:rsidRDefault="00F5610B" w:rsidP="00B64114">
            <w:pPr>
              <w:jc w:val="center"/>
              <w:rPr>
                <w:rFonts w:ascii="Times New Roman" w:hAnsi="Times New Roman" w:cs="Times New Roman"/>
                <w:color w:val="auto"/>
                <w:sz w:val="24"/>
                <w:szCs w:val="24"/>
              </w:rPr>
            </w:pPr>
            <w:r w:rsidRPr="007F63DD">
              <w:rPr>
                <w:rFonts w:ascii="Times New Roman" w:hAnsi="Times New Roman" w:cs="Times New Roman"/>
                <w:color w:val="auto"/>
                <w:sz w:val="24"/>
                <w:szCs w:val="24"/>
              </w:rPr>
              <w:t>m</w:t>
            </w:r>
            <w:r w:rsidRPr="007F63DD">
              <w:rPr>
                <w:rFonts w:ascii="Times New Roman" w:hAnsi="Times New Roman" w:cs="Times New Roman"/>
                <w:color w:val="auto"/>
                <w:sz w:val="24"/>
                <w:szCs w:val="24"/>
                <w:vertAlign w:val="superscript"/>
              </w:rPr>
              <w:t xml:space="preserve">2 </w:t>
            </w:r>
            <w:r w:rsidRPr="007F63DD">
              <w:rPr>
                <w:rFonts w:ascii="Times New Roman" w:hAnsi="Times New Roman" w:cs="Times New Roman"/>
                <w:color w:val="auto"/>
                <w:sz w:val="24"/>
                <w:szCs w:val="24"/>
              </w:rPr>
              <w:t>g</w:t>
            </w:r>
            <w:r w:rsidRPr="007F63DD">
              <w:rPr>
                <w:rFonts w:ascii="Times New Roman" w:hAnsi="Times New Roman" w:cs="Times New Roman"/>
                <w:color w:val="auto"/>
                <w:sz w:val="24"/>
                <w:szCs w:val="24"/>
                <w:vertAlign w:val="superscript"/>
              </w:rPr>
              <w:t>-1</w:t>
            </w:r>
          </w:p>
        </w:tc>
        <w:tc>
          <w:tcPr>
            <w:tcW w:w="2126" w:type="dxa"/>
            <w:gridSpan w:val="3"/>
            <w:tcBorders>
              <w:bottom w:val="single" w:sz="4" w:space="0" w:color="auto"/>
            </w:tcBorders>
            <w:shd w:val="clear" w:color="auto" w:fill="D9D9D9" w:themeFill="background1" w:themeFillShade="D9"/>
            <w:vAlign w:val="center"/>
          </w:tcPr>
          <w:p w:rsidR="00F5610B" w:rsidRPr="007F63DD" w:rsidRDefault="00F5610B" w:rsidP="00B6411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cm</w:t>
            </w:r>
            <w:r w:rsidRPr="007F63DD">
              <w:rPr>
                <w:rFonts w:ascii="Times New Roman" w:hAnsi="Times New Roman" w:cs="Times New Roman"/>
                <w:color w:val="auto"/>
                <w:sz w:val="24"/>
                <w:szCs w:val="24"/>
                <w:vertAlign w:val="superscript"/>
              </w:rPr>
              <w:t xml:space="preserve">3 </w:t>
            </w:r>
            <w:r w:rsidRPr="007F63DD">
              <w:rPr>
                <w:rFonts w:ascii="Times New Roman" w:hAnsi="Times New Roman" w:cs="Times New Roman"/>
                <w:color w:val="auto"/>
                <w:sz w:val="24"/>
                <w:szCs w:val="24"/>
              </w:rPr>
              <w:t>g</w:t>
            </w:r>
            <w:r w:rsidRPr="007F63DD">
              <w:rPr>
                <w:rFonts w:ascii="Times New Roman" w:hAnsi="Times New Roman" w:cs="Times New Roman"/>
                <w:color w:val="auto"/>
                <w:sz w:val="24"/>
                <w:szCs w:val="24"/>
                <w:vertAlign w:val="superscript"/>
              </w:rPr>
              <w:t>-1</w:t>
            </w:r>
          </w:p>
        </w:tc>
        <w:tc>
          <w:tcPr>
            <w:cnfStyle w:val="000010000000" w:firstRow="0" w:lastRow="0" w:firstColumn="0" w:lastColumn="0" w:oddVBand="1" w:evenVBand="0" w:oddHBand="0" w:evenHBand="0" w:firstRowFirstColumn="0" w:firstRowLastColumn="0" w:lastRowFirstColumn="0" w:lastRowLastColumn="0"/>
            <w:tcW w:w="709" w:type="dxa"/>
            <w:tcBorders>
              <w:bottom w:val="single" w:sz="4" w:space="0" w:color="auto"/>
            </w:tcBorders>
            <w:shd w:val="clear" w:color="auto" w:fill="D9D9D9" w:themeFill="background1" w:themeFillShade="D9"/>
            <w:vAlign w:val="center"/>
          </w:tcPr>
          <w:p w:rsidR="00F5610B" w:rsidRPr="007F63DD" w:rsidRDefault="00F5610B" w:rsidP="00B64114">
            <w:pPr>
              <w:jc w:val="center"/>
              <w:rPr>
                <w:rFonts w:ascii="Times New Roman" w:hAnsi="Times New Roman" w:cs="Times New Roman"/>
                <w:color w:val="auto"/>
                <w:sz w:val="24"/>
                <w:szCs w:val="24"/>
              </w:rPr>
            </w:pPr>
            <w:r w:rsidRPr="007F63DD">
              <w:rPr>
                <w:rFonts w:ascii="Times New Roman" w:hAnsi="Times New Roman" w:cs="Times New Roman"/>
                <w:color w:val="auto"/>
                <w:sz w:val="24"/>
                <w:szCs w:val="24"/>
              </w:rPr>
              <w:t>nm</w:t>
            </w:r>
          </w:p>
        </w:tc>
        <w:tc>
          <w:tcPr>
            <w:cnfStyle w:val="000100000000" w:firstRow="0" w:lastRow="0" w:firstColumn="0" w:lastColumn="1" w:oddVBand="0" w:evenVBand="0" w:oddHBand="0" w:evenHBand="0" w:firstRowFirstColumn="0" w:firstRowLastColumn="0" w:lastRowFirstColumn="0" w:lastRowLastColumn="0"/>
            <w:tcW w:w="2126" w:type="dxa"/>
            <w:gridSpan w:val="4"/>
            <w:tcBorders>
              <w:bottom w:val="single" w:sz="4" w:space="0" w:color="auto"/>
            </w:tcBorders>
            <w:shd w:val="clear" w:color="auto" w:fill="D9D9D9" w:themeFill="background1" w:themeFillShade="D9"/>
          </w:tcPr>
          <w:p w:rsidR="00F5610B" w:rsidRPr="007F63DD" w:rsidRDefault="00F5610B" w:rsidP="00B64114">
            <w:pPr>
              <w:jc w:val="center"/>
              <w:rPr>
                <w:rFonts w:ascii="Times New Roman" w:hAnsi="Times New Roman" w:cs="Times New Roman"/>
                <w:b w:val="0"/>
                <w:color w:val="auto"/>
                <w:sz w:val="24"/>
                <w:szCs w:val="24"/>
              </w:rPr>
            </w:pPr>
            <w:r w:rsidRPr="007F63DD">
              <w:rPr>
                <w:rFonts w:ascii="Calibri" w:hAnsi="Calibri" w:cs="Times New Roman"/>
                <w:b w:val="0"/>
                <w:color w:val="auto"/>
                <w:sz w:val="24"/>
                <w:szCs w:val="24"/>
              </w:rPr>
              <w:t>µ</w:t>
            </w:r>
            <w:r w:rsidRPr="007F63DD">
              <w:rPr>
                <w:rFonts w:ascii="Times New Roman" w:hAnsi="Times New Roman" w:cs="Times New Roman"/>
                <w:b w:val="0"/>
                <w:color w:val="auto"/>
                <w:sz w:val="24"/>
                <w:szCs w:val="24"/>
              </w:rPr>
              <w:t>mol g</w:t>
            </w:r>
            <w:r w:rsidRPr="007F63DD">
              <w:rPr>
                <w:rFonts w:ascii="Times New Roman" w:hAnsi="Times New Roman" w:cs="Times New Roman"/>
                <w:b w:val="0"/>
                <w:color w:val="auto"/>
                <w:sz w:val="24"/>
                <w:szCs w:val="24"/>
                <w:vertAlign w:val="superscript"/>
              </w:rPr>
              <w:t>-1</w:t>
            </w: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254"/>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spacing w:line="276" w:lineRule="auto"/>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C</w:t>
            </w:r>
            <w:r w:rsidRPr="007F63DD">
              <w:rPr>
                <w:rFonts w:ascii="Times New Roman" w:hAnsi="Times New Roman" w:cs="Times New Roman"/>
                <w:b w:val="0"/>
                <w:color w:val="auto"/>
                <w:sz w:val="24"/>
                <w:szCs w:val="24"/>
                <w:vertAlign w:val="subscript"/>
              </w:rPr>
              <w:t>1</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spacing w:line="276" w:lineRule="auto"/>
              <w:rPr>
                <w:rFonts w:ascii="Times New Roman" w:hAnsi="Times New Roman" w:cs="Times New Roman"/>
                <w:color w:val="auto"/>
                <w:sz w:val="24"/>
                <w:szCs w:val="24"/>
              </w:rPr>
            </w:pPr>
            <w:r w:rsidRPr="007F63DD">
              <w:rPr>
                <w:rFonts w:ascii="Times New Roman" w:hAnsi="Times New Roman" w:cs="Times New Roman"/>
                <w:color w:val="auto"/>
                <w:sz w:val="24"/>
                <w:szCs w:val="24"/>
              </w:rPr>
              <w:t>GMC</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rt</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81</w:t>
            </w:r>
          </w:p>
        </w:tc>
        <w:tc>
          <w:tcPr>
            <w:tcW w:w="851"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16</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65</w:t>
            </w:r>
          </w:p>
        </w:tc>
        <w:tc>
          <w:tcPr>
            <w:tcW w:w="708"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0.33</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0.01</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0.21</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2.5-50</w:t>
            </w:r>
          </w:p>
        </w:tc>
        <w:tc>
          <w:tcPr>
            <w:tcW w:w="567"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w:t>
            </w:r>
          </w:p>
        </w:tc>
      </w:tr>
      <w:tr w:rsidR="007F63DD" w:rsidRPr="007F63DD" w:rsidTr="00F5610B">
        <w:trPr>
          <w:trHeight w:hRule="exact" w:val="294"/>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350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85</w:t>
            </w:r>
          </w:p>
        </w:tc>
        <w:tc>
          <w:tcPr>
            <w:tcW w:w="851"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85</w:t>
            </w:r>
          </w:p>
        </w:tc>
        <w:tc>
          <w:tcPr>
            <w:tcW w:w="708"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0.31</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0.01</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0.21</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2.5-50</w:t>
            </w:r>
          </w:p>
        </w:tc>
        <w:tc>
          <w:tcPr>
            <w:tcW w:w="567"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17</w:t>
            </w:r>
          </w:p>
        </w:tc>
        <w:tc>
          <w:tcPr>
            <w:cnfStyle w:val="000100000000" w:firstRow="0" w:lastRow="0" w:firstColumn="0" w:lastColumn="1" w:oddVBand="0" w:evenVBand="0" w:oddHBand="0" w:evenHBand="0" w:firstRowFirstColumn="0" w:firstRowLastColumn="0" w:lastRowFirstColumn="0" w:lastRowLastColumn="0"/>
            <w:tcW w:w="1418" w:type="dxa"/>
            <w:gridSpan w:val="2"/>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4</w:t>
            </w: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279"/>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C</w:t>
            </w:r>
            <w:r w:rsidRPr="007F63DD">
              <w:rPr>
                <w:rFonts w:ascii="Times New Roman" w:hAnsi="Times New Roman" w:cs="Times New Roman"/>
                <w:b w:val="0"/>
                <w:color w:val="auto"/>
                <w:sz w:val="24"/>
                <w:szCs w:val="24"/>
                <w:vertAlign w:val="subscript"/>
              </w:rPr>
              <w:t>2</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r w:rsidRPr="007F63DD">
              <w:rPr>
                <w:rFonts w:ascii="Times New Roman" w:hAnsi="Times New Roman" w:cs="Times New Roman"/>
                <w:color w:val="auto"/>
                <w:sz w:val="24"/>
                <w:szCs w:val="24"/>
              </w:rPr>
              <w:t>ST-300</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rt</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180</w:t>
            </w:r>
          </w:p>
        </w:tc>
        <w:tc>
          <w:tcPr>
            <w:tcW w:w="851"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76</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104</w:t>
            </w:r>
          </w:p>
        </w:tc>
        <w:tc>
          <w:tcPr>
            <w:tcW w:w="708"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0.37</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0.04</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0.22</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0.5-45</w:t>
            </w:r>
          </w:p>
        </w:tc>
        <w:tc>
          <w:tcPr>
            <w:tcW w:w="567"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w:t>
            </w:r>
          </w:p>
        </w:tc>
      </w:tr>
      <w:tr w:rsidR="007F63DD" w:rsidRPr="007F63DD" w:rsidTr="00F5610B">
        <w:trPr>
          <w:trHeight w:hRule="exact" w:val="279"/>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200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104</w:t>
            </w:r>
          </w:p>
        </w:tc>
        <w:tc>
          <w:tcPr>
            <w:tcW w:w="851"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36</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68</w:t>
            </w:r>
          </w:p>
        </w:tc>
        <w:tc>
          <w:tcPr>
            <w:tcW w:w="708"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0.30</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0.01</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0.21</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0.5-45</w:t>
            </w:r>
          </w:p>
        </w:tc>
        <w:tc>
          <w:tcPr>
            <w:tcW w:w="567"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26</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195</w:t>
            </w: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27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C</w:t>
            </w:r>
            <w:r w:rsidRPr="007F63DD">
              <w:rPr>
                <w:rFonts w:ascii="Times New Roman" w:hAnsi="Times New Roman" w:cs="Times New Roman"/>
                <w:b w:val="0"/>
                <w:color w:val="auto"/>
                <w:sz w:val="24"/>
                <w:szCs w:val="24"/>
                <w:vertAlign w:val="subscript"/>
              </w:rPr>
              <w:t>3</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r w:rsidRPr="007F63DD">
              <w:rPr>
                <w:rFonts w:ascii="Times New Roman" w:hAnsi="Times New Roman" w:cs="Times New Roman"/>
                <w:color w:val="auto"/>
                <w:sz w:val="24"/>
                <w:szCs w:val="24"/>
              </w:rPr>
              <w:t>ST-800</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rt</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442</w:t>
            </w:r>
          </w:p>
        </w:tc>
        <w:tc>
          <w:tcPr>
            <w:tcW w:w="851"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316</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125</w:t>
            </w:r>
          </w:p>
        </w:tc>
        <w:tc>
          <w:tcPr>
            <w:tcW w:w="708"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0.44</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0.15</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0.29</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0.5-15</w:t>
            </w:r>
          </w:p>
        </w:tc>
        <w:tc>
          <w:tcPr>
            <w:tcW w:w="567"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w:t>
            </w:r>
          </w:p>
        </w:tc>
      </w:tr>
      <w:tr w:rsidR="007F63DD" w:rsidRPr="007F63DD" w:rsidTr="00F5610B">
        <w:trPr>
          <w:trHeight w:hRule="exact" w:val="27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350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780</w:t>
            </w:r>
          </w:p>
        </w:tc>
        <w:tc>
          <w:tcPr>
            <w:tcW w:w="851"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599</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182</w:t>
            </w:r>
          </w:p>
        </w:tc>
        <w:tc>
          <w:tcPr>
            <w:tcW w:w="708"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0.49</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0.12</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0.37</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0.5-12</w:t>
            </w:r>
          </w:p>
        </w:tc>
        <w:tc>
          <w:tcPr>
            <w:tcW w:w="567"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30</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542</w:t>
            </w: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27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AC</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r w:rsidRPr="007F63DD">
              <w:rPr>
                <w:rFonts w:ascii="Times New Roman" w:hAnsi="Times New Roman" w:cs="Times New Roman"/>
                <w:color w:val="auto"/>
                <w:sz w:val="24"/>
                <w:szCs w:val="24"/>
              </w:rPr>
              <w:t>Norit</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rt</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1,374</w:t>
            </w:r>
          </w:p>
        </w:tc>
        <w:tc>
          <w:tcPr>
            <w:tcW w:w="851"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493</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880</w:t>
            </w:r>
          </w:p>
        </w:tc>
        <w:tc>
          <w:tcPr>
            <w:tcW w:w="708"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1.28</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0.53</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0.74</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&lt;1-7</w:t>
            </w:r>
          </w:p>
        </w:tc>
        <w:tc>
          <w:tcPr>
            <w:tcW w:w="567"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w:t>
            </w:r>
          </w:p>
        </w:tc>
      </w:tr>
      <w:tr w:rsidR="007F63DD" w:rsidRPr="007F63DD" w:rsidTr="00F5610B">
        <w:trPr>
          <w:trHeight w:hRule="exact" w:val="289"/>
        </w:trPr>
        <w:tc>
          <w:tcPr>
            <w:cnfStyle w:val="001000000000" w:firstRow="0" w:lastRow="0" w:firstColumn="1" w:lastColumn="0" w:oddVBand="0" w:evenVBand="0" w:oddHBand="0" w:evenHBand="0" w:firstRowFirstColumn="0" w:firstRowLastColumn="0" w:lastRowFirstColumn="0" w:lastRowLastColumn="0"/>
            <w:tcW w:w="959" w:type="dxa"/>
            <w:shd w:val="clear" w:color="auto" w:fill="auto"/>
            <w:vAlign w:val="center"/>
          </w:tcPr>
          <w:p w:rsidR="00F5610B" w:rsidRPr="007F63DD" w:rsidRDefault="00F5610B" w:rsidP="00B64114">
            <w:pPr>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200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1,250</w:t>
            </w:r>
          </w:p>
        </w:tc>
        <w:tc>
          <w:tcPr>
            <w:tcW w:w="851"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443</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805</w:t>
            </w:r>
          </w:p>
        </w:tc>
        <w:tc>
          <w:tcPr>
            <w:tcW w:w="708"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1.16</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0.45</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0.71</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&lt;1-7</w:t>
            </w:r>
          </w:p>
        </w:tc>
        <w:tc>
          <w:tcPr>
            <w:tcW w:w="567"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50</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491</w:t>
            </w: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294"/>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TiO</w:t>
            </w:r>
            <w:r w:rsidRPr="007F63DD">
              <w:rPr>
                <w:rFonts w:ascii="Times New Roman" w:hAnsi="Times New Roman" w:cs="Times New Roman"/>
                <w:b w:val="0"/>
                <w:color w:val="auto"/>
                <w:sz w:val="24"/>
                <w:szCs w:val="24"/>
                <w:vertAlign w:val="subscript"/>
              </w:rPr>
              <w:t>2</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r w:rsidRPr="007F63DD">
              <w:rPr>
                <w:rFonts w:ascii="Times New Roman" w:hAnsi="Times New Roman" w:cs="Times New Roman"/>
                <w:color w:val="auto"/>
                <w:sz w:val="24"/>
                <w:szCs w:val="24"/>
              </w:rPr>
              <w:t>TiO</w:t>
            </w:r>
            <w:r w:rsidRPr="007F63DD">
              <w:rPr>
                <w:rFonts w:ascii="Times New Roman" w:hAnsi="Times New Roman" w:cs="Times New Roman"/>
                <w:color w:val="auto"/>
                <w:sz w:val="24"/>
                <w:szCs w:val="24"/>
                <w:vertAlign w:val="subscript"/>
              </w:rPr>
              <w:t>2</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350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177</w:t>
            </w:r>
          </w:p>
        </w:tc>
        <w:tc>
          <w:tcPr>
            <w:tcW w:w="851"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9</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167</w:t>
            </w:r>
          </w:p>
        </w:tc>
        <w:tc>
          <w:tcPr>
            <w:tcW w:w="708"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0.33</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0.30</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7/13</w:t>
            </w:r>
          </w:p>
        </w:tc>
        <w:tc>
          <w:tcPr>
            <w:tcW w:w="567"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1945</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78</w:t>
            </w:r>
          </w:p>
        </w:tc>
      </w:tr>
      <w:tr w:rsidR="007F63DD" w:rsidRPr="007F63DD" w:rsidTr="00F5610B">
        <w:trPr>
          <w:trHeight w:hRule="exact" w:val="374"/>
        </w:trPr>
        <w:tc>
          <w:tcPr>
            <w:cnfStyle w:val="001000000000" w:firstRow="0" w:lastRow="0" w:firstColumn="1" w:lastColumn="0" w:oddVBand="0" w:evenVBand="0" w:oddHBand="0" w:evenHBand="0" w:firstRowFirstColumn="0" w:firstRowLastColumn="0" w:lastRowFirstColumn="0" w:lastRowLastColumn="0"/>
            <w:tcW w:w="959" w:type="dxa"/>
            <w:tcBorders>
              <w:bottom w:val="single" w:sz="4" w:space="0" w:color="auto"/>
            </w:tcBorders>
            <w:shd w:val="clear" w:color="auto" w:fill="auto"/>
          </w:tcPr>
          <w:p w:rsidR="00F5610B" w:rsidRPr="007F63DD" w:rsidRDefault="00F5610B" w:rsidP="00B64114">
            <w:pPr>
              <w:spacing w:after="200" w:line="276" w:lineRule="auto"/>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Ti-Xg</w:t>
            </w:r>
          </w:p>
        </w:tc>
        <w:tc>
          <w:tcPr>
            <w:cnfStyle w:val="000010000000" w:firstRow="0" w:lastRow="0" w:firstColumn="0" w:lastColumn="0" w:oddVBand="1" w:evenVBand="0" w:oddHBand="0" w:evenHBand="0" w:firstRowFirstColumn="0" w:firstRowLastColumn="0" w:lastRowFirstColumn="0" w:lastRowLastColumn="0"/>
            <w:tcW w:w="992" w:type="dxa"/>
            <w:tcBorders>
              <w:bottom w:val="single" w:sz="4" w:space="0" w:color="auto"/>
            </w:tcBorders>
            <w:shd w:val="clear" w:color="auto" w:fill="auto"/>
          </w:tcPr>
          <w:p w:rsidR="00F5610B" w:rsidRPr="007F63DD" w:rsidRDefault="00F5610B" w:rsidP="00B64114">
            <w:pPr>
              <w:spacing w:after="200" w:line="276" w:lineRule="auto"/>
              <w:rPr>
                <w:rFonts w:ascii="Times New Roman" w:hAnsi="Times New Roman" w:cs="Times New Roman"/>
                <w:color w:val="auto"/>
                <w:sz w:val="24"/>
                <w:szCs w:val="24"/>
              </w:rPr>
            </w:pPr>
            <w:r w:rsidRPr="007F63DD">
              <w:rPr>
                <w:rFonts w:ascii="Times New Roman" w:hAnsi="Times New Roman" w:cs="Times New Roman"/>
                <w:color w:val="auto"/>
                <w:sz w:val="24"/>
                <w:szCs w:val="24"/>
              </w:rPr>
              <w:t>TiO</w:t>
            </w:r>
            <w:r w:rsidRPr="007F63DD">
              <w:rPr>
                <w:rFonts w:ascii="Times New Roman" w:hAnsi="Times New Roman" w:cs="Times New Roman"/>
                <w:color w:val="auto"/>
                <w:sz w:val="24"/>
                <w:szCs w:val="24"/>
                <w:vertAlign w:val="subscript"/>
              </w:rPr>
              <w:t>2</w:t>
            </w:r>
          </w:p>
        </w:tc>
        <w:tc>
          <w:tcPr>
            <w:tcW w:w="709" w:type="dxa"/>
            <w:tcBorders>
              <w:bottom w:val="single" w:sz="4" w:space="0" w:color="auto"/>
            </w:tcBorders>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350</w:t>
            </w:r>
          </w:p>
        </w:tc>
        <w:tc>
          <w:tcPr>
            <w:cnfStyle w:val="000010000000" w:firstRow="0" w:lastRow="0" w:firstColumn="0" w:lastColumn="0" w:oddVBand="1" w:evenVBand="0" w:oddHBand="0" w:evenHBand="0" w:firstRowFirstColumn="0" w:firstRowLastColumn="0" w:lastRowFirstColumn="0" w:lastRowLastColumn="0"/>
            <w:tcW w:w="850" w:type="dxa"/>
            <w:tcBorders>
              <w:bottom w:val="single" w:sz="4" w:space="0" w:color="auto"/>
            </w:tcBorders>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149</w:t>
            </w:r>
          </w:p>
        </w:tc>
        <w:tc>
          <w:tcPr>
            <w:tcW w:w="851" w:type="dxa"/>
            <w:tcBorders>
              <w:bottom w:val="single" w:sz="4" w:space="0" w:color="auto"/>
            </w:tcBorders>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cnfStyle w:val="000010000000" w:firstRow="0" w:lastRow="0" w:firstColumn="0" w:lastColumn="0" w:oddVBand="1" w:evenVBand="0" w:oddHBand="0" w:evenHBand="0" w:firstRowFirstColumn="0" w:firstRowLastColumn="0" w:lastRowFirstColumn="0" w:lastRowLastColumn="0"/>
            <w:tcW w:w="709" w:type="dxa"/>
            <w:tcBorders>
              <w:bottom w:val="single" w:sz="4" w:space="0" w:color="auto"/>
            </w:tcBorders>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149</w:t>
            </w:r>
          </w:p>
        </w:tc>
        <w:tc>
          <w:tcPr>
            <w:tcW w:w="708" w:type="dxa"/>
            <w:tcBorders>
              <w:bottom w:val="single" w:sz="4" w:space="0" w:color="auto"/>
            </w:tcBorders>
            <w:shd w:val="clear" w:color="auto" w:fill="auto"/>
          </w:tcPr>
          <w:p w:rsidR="00F5610B" w:rsidRPr="007F63DD" w:rsidRDefault="00F5610B" w:rsidP="00B64114">
            <w:pPr>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0.24</w:t>
            </w:r>
          </w:p>
        </w:tc>
        <w:tc>
          <w:tcPr>
            <w:cnfStyle w:val="000010000000" w:firstRow="0" w:lastRow="0" w:firstColumn="0" w:lastColumn="0" w:oddVBand="1" w:evenVBand="0" w:oddHBand="0" w:evenHBand="0" w:firstRowFirstColumn="0" w:firstRowLastColumn="0" w:lastRowFirstColumn="0" w:lastRowLastColumn="0"/>
            <w:tcW w:w="709" w:type="dxa"/>
            <w:tcBorders>
              <w:bottom w:val="single" w:sz="4" w:space="0" w:color="auto"/>
            </w:tcBorders>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tcW w:w="709" w:type="dxa"/>
            <w:tcBorders>
              <w:bottom w:val="single" w:sz="4" w:space="0" w:color="auto"/>
            </w:tcBorders>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0.28</w:t>
            </w:r>
          </w:p>
        </w:tc>
        <w:tc>
          <w:tcPr>
            <w:cnfStyle w:val="000010000000" w:firstRow="0" w:lastRow="0" w:firstColumn="0" w:lastColumn="0" w:oddVBand="1" w:evenVBand="0" w:oddHBand="0" w:evenHBand="0" w:firstRowFirstColumn="0" w:firstRowLastColumn="0" w:lastRowFirstColumn="0" w:lastRowLastColumn="0"/>
            <w:tcW w:w="850" w:type="dxa"/>
            <w:gridSpan w:val="2"/>
            <w:tcBorders>
              <w:bottom w:val="single" w:sz="4" w:space="0" w:color="auto"/>
            </w:tcBorders>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7/-</w:t>
            </w:r>
          </w:p>
        </w:tc>
        <w:tc>
          <w:tcPr>
            <w:tcW w:w="567" w:type="dxa"/>
            <w:tcBorders>
              <w:bottom w:val="single" w:sz="4" w:space="0" w:color="auto"/>
            </w:tcBorders>
            <w:shd w:val="clear" w:color="auto" w:fill="auto"/>
          </w:tcPr>
          <w:p w:rsidR="00F5610B" w:rsidRPr="007F63DD" w:rsidRDefault="00F5610B" w:rsidP="00B64114">
            <w:pPr>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535</w:t>
            </w:r>
          </w:p>
        </w:tc>
        <w:tc>
          <w:tcPr>
            <w:cnfStyle w:val="000100000000" w:firstRow="0" w:lastRow="0" w:firstColumn="0" w:lastColumn="1" w:oddVBand="0" w:evenVBand="0" w:oddHBand="0" w:evenHBand="0" w:firstRowFirstColumn="0" w:firstRowLastColumn="0" w:lastRowFirstColumn="0" w:lastRowLastColumn="0"/>
            <w:tcW w:w="1418" w:type="dxa"/>
            <w:gridSpan w:val="2"/>
            <w:tcBorders>
              <w:bottom w:val="single" w:sz="4" w:space="0" w:color="auto"/>
            </w:tcBorders>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70</w:t>
            </w: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416"/>
        </w:trPr>
        <w:tc>
          <w:tcPr>
            <w:cnfStyle w:val="001000000000" w:firstRow="0" w:lastRow="0" w:firstColumn="1" w:lastColumn="0" w:oddVBand="0" w:evenVBand="0" w:oddHBand="0" w:evenHBand="0" w:firstRowFirstColumn="0" w:firstRowLastColumn="0" w:lastRowFirstColumn="0" w:lastRowLastColumn="0"/>
            <w:tcW w:w="8897" w:type="dxa"/>
            <w:gridSpan w:val="13"/>
            <w:tcBorders>
              <w:top w:val="single" w:sz="4" w:space="0" w:color="auto"/>
            </w:tcBorders>
            <w:shd w:val="clear" w:color="auto" w:fill="auto"/>
          </w:tcPr>
          <w:p w:rsidR="00F5610B" w:rsidRPr="007F63DD" w:rsidRDefault="00F5610B" w:rsidP="00B64114">
            <w:pPr>
              <w:rPr>
                <w:rFonts w:ascii="Times New Roman" w:hAnsi="Times New Roman" w:cs="Times New Roman"/>
                <w:b w:val="0"/>
                <w:color w:val="auto"/>
                <w:sz w:val="24"/>
                <w:szCs w:val="24"/>
                <w:lang w:val="en-US"/>
              </w:rPr>
            </w:pPr>
            <w:r w:rsidRPr="007F63DD">
              <w:rPr>
                <w:rFonts w:ascii="Times New Roman" w:hAnsi="Times New Roman" w:cs="Times New Roman"/>
                <w:b w:val="0"/>
                <w:i/>
                <w:color w:val="auto"/>
                <w:sz w:val="24"/>
                <w:szCs w:val="24"/>
                <w:lang w:val="en-US"/>
              </w:rPr>
              <w:t>Carbon/TiO</w:t>
            </w:r>
            <w:r w:rsidRPr="007F63DD">
              <w:rPr>
                <w:rFonts w:ascii="Times New Roman" w:hAnsi="Times New Roman" w:cs="Times New Roman"/>
                <w:b w:val="0"/>
                <w:i/>
                <w:color w:val="auto"/>
                <w:sz w:val="24"/>
                <w:szCs w:val="24"/>
                <w:vertAlign w:val="subscript"/>
                <w:lang w:val="en-US"/>
              </w:rPr>
              <w:t>2</w:t>
            </w:r>
            <w:r w:rsidRPr="007F63DD">
              <w:rPr>
                <w:rFonts w:ascii="Times New Roman" w:hAnsi="Times New Roman" w:cs="Times New Roman"/>
                <w:b w:val="0"/>
                <w:i/>
                <w:color w:val="auto"/>
                <w:sz w:val="24"/>
                <w:szCs w:val="24"/>
                <w:lang w:val="en-US"/>
              </w:rPr>
              <w:t xml:space="preserve"> prepared by incipient wet impregnation </w:t>
            </w:r>
          </w:p>
        </w:tc>
        <w:tc>
          <w:tcPr>
            <w:cnfStyle w:val="000100000000" w:firstRow="0" w:lastRow="0" w:firstColumn="0" w:lastColumn="1" w:oddVBand="0" w:evenVBand="0" w:oddHBand="0" w:evenHBand="0" w:firstRowFirstColumn="0" w:firstRowLastColumn="0" w:lastRowFirstColumn="0" w:lastRowLastColumn="0"/>
            <w:tcW w:w="1134" w:type="dxa"/>
            <w:tcBorders>
              <w:top w:val="single" w:sz="4" w:space="0" w:color="auto"/>
            </w:tcBorders>
            <w:shd w:val="clear" w:color="auto" w:fill="auto"/>
          </w:tcPr>
          <w:p w:rsidR="00F5610B" w:rsidRPr="007F63DD" w:rsidRDefault="00F5610B" w:rsidP="00B64114">
            <w:pPr>
              <w:rPr>
                <w:rFonts w:ascii="Times New Roman" w:hAnsi="Times New Roman" w:cs="Times New Roman"/>
                <w:b w:val="0"/>
                <w:i/>
                <w:color w:val="auto"/>
                <w:sz w:val="24"/>
                <w:szCs w:val="24"/>
                <w:lang w:val="en-US"/>
              </w:rPr>
            </w:pPr>
          </w:p>
        </w:tc>
      </w:tr>
      <w:tr w:rsidR="007F63DD" w:rsidRPr="007F63DD" w:rsidTr="00F5610B">
        <w:trPr>
          <w:trHeight w:hRule="exact" w:val="241"/>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spacing w:after="200" w:line="276" w:lineRule="auto"/>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C</w:t>
            </w:r>
            <w:r w:rsidRPr="007F63DD">
              <w:rPr>
                <w:rFonts w:ascii="Times New Roman" w:hAnsi="Times New Roman" w:cs="Times New Roman"/>
                <w:b w:val="0"/>
                <w:color w:val="auto"/>
                <w:sz w:val="24"/>
                <w:szCs w:val="24"/>
                <w:vertAlign w:val="subscript"/>
              </w:rPr>
              <w:t>1</w:t>
            </w:r>
            <w:r w:rsidRPr="007F63DD">
              <w:rPr>
                <w:rFonts w:ascii="Times New Roman" w:hAnsi="Times New Roman" w:cs="Times New Roman"/>
                <w:b w:val="0"/>
                <w:color w:val="auto"/>
                <w:sz w:val="24"/>
                <w:szCs w:val="24"/>
              </w:rPr>
              <w:t>Ti-</w:t>
            </w:r>
            <w:r w:rsidRPr="007F63DD">
              <w:rPr>
                <w:rFonts w:ascii="Times New Roman" w:hAnsi="Times New Roman" w:cs="Times New Roman"/>
                <w:b w:val="0"/>
                <w:i/>
                <w:color w:val="auto"/>
                <w:sz w:val="24"/>
                <w:szCs w:val="24"/>
              </w:rPr>
              <w:t>i</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spacing w:after="200" w:line="276" w:lineRule="auto"/>
              <w:rPr>
                <w:rFonts w:ascii="Times New Roman" w:hAnsi="Times New Roman" w:cs="Times New Roman"/>
                <w:color w:val="auto"/>
                <w:sz w:val="24"/>
                <w:szCs w:val="24"/>
              </w:rPr>
            </w:pPr>
            <w:r w:rsidRPr="007F63DD">
              <w:rPr>
                <w:rFonts w:ascii="Times New Roman" w:hAnsi="Times New Roman" w:cs="Times New Roman"/>
                <w:color w:val="auto"/>
                <w:sz w:val="24"/>
                <w:szCs w:val="24"/>
              </w:rPr>
              <w:t>GMC</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350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96</w:t>
            </w:r>
          </w:p>
        </w:tc>
        <w:tc>
          <w:tcPr>
            <w:tcW w:w="851"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32</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64</w:t>
            </w:r>
          </w:p>
        </w:tc>
        <w:tc>
          <w:tcPr>
            <w:tcW w:w="708"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0.42</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0.27</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50</w:t>
            </w:r>
          </w:p>
        </w:tc>
        <w:tc>
          <w:tcPr>
            <w:tcW w:w="567"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40</w:t>
            </w:r>
          </w:p>
        </w:tc>
        <w:tc>
          <w:tcPr>
            <w:cnfStyle w:val="000100000000" w:firstRow="0" w:lastRow="0" w:firstColumn="0" w:lastColumn="1" w:oddVBand="0" w:evenVBand="0" w:oddHBand="0" w:evenHBand="0" w:firstRowFirstColumn="0" w:firstRowLastColumn="0" w:lastRowFirstColumn="0" w:lastRowLastColumn="0"/>
            <w:tcW w:w="1418" w:type="dxa"/>
            <w:gridSpan w:val="2"/>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4</w:t>
            </w: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241"/>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spacing w:after="200" w:line="276" w:lineRule="auto"/>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C</w:t>
            </w:r>
            <w:r w:rsidRPr="007F63DD">
              <w:rPr>
                <w:rFonts w:ascii="Times New Roman" w:hAnsi="Times New Roman" w:cs="Times New Roman"/>
                <w:b w:val="0"/>
                <w:color w:val="auto"/>
                <w:sz w:val="24"/>
                <w:szCs w:val="24"/>
                <w:vertAlign w:val="subscript"/>
              </w:rPr>
              <w:t>2</w:t>
            </w:r>
            <w:r w:rsidRPr="007F63DD">
              <w:rPr>
                <w:rFonts w:ascii="Times New Roman" w:hAnsi="Times New Roman" w:cs="Times New Roman"/>
                <w:b w:val="0"/>
                <w:color w:val="auto"/>
                <w:sz w:val="24"/>
                <w:szCs w:val="24"/>
              </w:rPr>
              <w:t>Ti-</w:t>
            </w:r>
            <w:r w:rsidRPr="007F63DD">
              <w:rPr>
                <w:rFonts w:ascii="Times New Roman" w:hAnsi="Times New Roman" w:cs="Times New Roman"/>
                <w:b w:val="0"/>
                <w:i/>
                <w:color w:val="auto"/>
                <w:sz w:val="24"/>
                <w:szCs w:val="24"/>
              </w:rPr>
              <w:t>i</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spacing w:after="200" w:line="276" w:lineRule="auto"/>
              <w:rPr>
                <w:rFonts w:ascii="Times New Roman" w:hAnsi="Times New Roman" w:cs="Times New Roman"/>
                <w:color w:val="auto"/>
                <w:sz w:val="24"/>
                <w:szCs w:val="24"/>
              </w:rPr>
            </w:pPr>
            <w:r w:rsidRPr="007F63DD">
              <w:rPr>
                <w:rFonts w:ascii="Times New Roman" w:hAnsi="Times New Roman" w:cs="Times New Roman"/>
                <w:color w:val="auto"/>
                <w:sz w:val="24"/>
                <w:szCs w:val="24"/>
              </w:rPr>
              <w:t xml:space="preserve">ST-300 </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200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93</w:t>
            </w:r>
          </w:p>
        </w:tc>
        <w:tc>
          <w:tcPr>
            <w:tcW w:w="851"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21</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72</w:t>
            </w:r>
          </w:p>
        </w:tc>
        <w:tc>
          <w:tcPr>
            <w:tcW w:w="708"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0.27</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0.22</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40</w:t>
            </w:r>
          </w:p>
        </w:tc>
        <w:tc>
          <w:tcPr>
            <w:tcW w:w="567"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77</w:t>
            </w:r>
          </w:p>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187</w:t>
            </w:r>
          </w:p>
        </w:tc>
      </w:tr>
      <w:tr w:rsidR="007F63DD" w:rsidRPr="007F63DD" w:rsidTr="00F5610B">
        <w:trPr>
          <w:trHeight w:hRule="exact" w:val="241"/>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spacing w:after="200" w:line="276" w:lineRule="auto"/>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C</w:t>
            </w:r>
            <w:r w:rsidRPr="007F63DD">
              <w:rPr>
                <w:rFonts w:ascii="Times New Roman" w:hAnsi="Times New Roman" w:cs="Times New Roman"/>
                <w:b w:val="0"/>
                <w:color w:val="auto"/>
                <w:sz w:val="24"/>
                <w:szCs w:val="24"/>
                <w:vertAlign w:val="subscript"/>
              </w:rPr>
              <w:t>3</w:t>
            </w:r>
            <w:r w:rsidRPr="007F63DD">
              <w:rPr>
                <w:rFonts w:ascii="Times New Roman" w:hAnsi="Times New Roman" w:cs="Times New Roman"/>
                <w:b w:val="0"/>
                <w:color w:val="auto"/>
                <w:sz w:val="24"/>
                <w:szCs w:val="24"/>
              </w:rPr>
              <w:t>Ti-</w:t>
            </w:r>
            <w:r w:rsidRPr="007F63DD">
              <w:rPr>
                <w:rFonts w:ascii="Times New Roman" w:hAnsi="Times New Roman" w:cs="Times New Roman"/>
                <w:b w:val="0"/>
                <w:i/>
                <w:color w:val="auto"/>
                <w:sz w:val="24"/>
                <w:szCs w:val="24"/>
              </w:rPr>
              <w:t>i</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spacing w:after="200" w:line="276" w:lineRule="auto"/>
              <w:rPr>
                <w:rFonts w:ascii="Times New Roman" w:hAnsi="Times New Roman" w:cs="Times New Roman"/>
                <w:color w:val="auto"/>
                <w:sz w:val="24"/>
                <w:szCs w:val="24"/>
              </w:rPr>
            </w:pPr>
            <w:r w:rsidRPr="007F63DD">
              <w:rPr>
                <w:rFonts w:ascii="Times New Roman" w:hAnsi="Times New Roman" w:cs="Times New Roman"/>
                <w:color w:val="auto"/>
                <w:sz w:val="24"/>
                <w:szCs w:val="24"/>
              </w:rPr>
              <w:t xml:space="preserve">ST-800 </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350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472</w:t>
            </w:r>
          </w:p>
        </w:tc>
        <w:tc>
          <w:tcPr>
            <w:tcW w:w="851"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406</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165</w:t>
            </w:r>
          </w:p>
        </w:tc>
        <w:tc>
          <w:tcPr>
            <w:tcW w:w="708"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0.31</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0.16</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0.15</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0.5-15</w:t>
            </w:r>
          </w:p>
        </w:tc>
        <w:tc>
          <w:tcPr>
            <w:tcW w:w="567"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141</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583</w:t>
            </w: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241"/>
        </w:trPr>
        <w:tc>
          <w:tcPr>
            <w:cnfStyle w:val="001000000000" w:firstRow="0" w:lastRow="0" w:firstColumn="1" w:lastColumn="0" w:oddVBand="0" w:evenVBand="0" w:oddHBand="0" w:evenHBand="0" w:firstRowFirstColumn="0" w:firstRowLastColumn="0" w:lastRowFirstColumn="0" w:lastRowLastColumn="0"/>
            <w:tcW w:w="959" w:type="dxa"/>
            <w:tcBorders>
              <w:bottom w:val="single" w:sz="4" w:space="0" w:color="auto"/>
            </w:tcBorders>
            <w:shd w:val="clear" w:color="auto" w:fill="auto"/>
          </w:tcPr>
          <w:p w:rsidR="00F5610B" w:rsidRPr="007F63DD" w:rsidRDefault="00F5610B" w:rsidP="00B64114">
            <w:pP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ACTi-</w:t>
            </w:r>
            <w:r w:rsidRPr="007F63DD">
              <w:rPr>
                <w:rFonts w:ascii="Times New Roman" w:hAnsi="Times New Roman" w:cs="Times New Roman"/>
                <w:b w:val="0"/>
                <w:i/>
                <w:color w:val="auto"/>
                <w:sz w:val="24"/>
                <w:szCs w:val="24"/>
              </w:rPr>
              <w:t>i</w:t>
            </w:r>
          </w:p>
        </w:tc>
        <w:tc>
          <w:tcPr>
            <w:cnfStyle w:val="000010000000" w:firstRow="0" w:lastRow="0" w:firstColumn="0" w:lastColumn="0" w:oddVBand="1" w:evenVBand="0" w:oddHBand="0" w:evenHBand="0" w:firstRowFirstColumn="0" w:firstRowLastColumn="0" w:lastRowFirstColumn="0" w:lastRowLastColumn="0"/>
            <w:tcW w:w="992" w:type="dxa"/>
            <w:tcBorders>
              <w:bottom w:val="single" w:sz="4" w:space="0" w:color="auto"/>
            </w:tcBorders>
            <w:shd w:val="clear" w:color="auto" w:fill="auto"/>
          </w:tcPr>
          <w:p w:rsidR="00F5610B" w:rsidRPr="007F63DD" w:rsidRDefault="00F5610B" w:rsidP="00B64114">
            <w:pPr>
              <w:rPr>
                <w:rFonts w:ascii="Times New Roman" w:hAnsi="Times New Roman" w:cs="Times New Roman"/>
                <w:color w:val="auto"/>
                <w:sz w:val="24"/>
                <w:szCs w:val="24"/>
              </w:rPr>
            </w:pPr>
            <w:r w:rsidRPr="007F63DD">
              <w:rPr>
                <w:rFonts w:ascii="Times New Roman" w:hAnsi="Times New Roman" w:cs="Times New Roman"/>
                <w:color w:val="auto"/>
                <w:sz w:val="24"/>
                <w:szCs w:val="24"/>
              </w:rPr>
              <w:t>Norit</w:t>
            </w:r>
          </w:p>
        </w:tc>
        <w:tc>
          <w:tcPr>
            <w:tcW w:w="709" w:type="dxa"/>
            <w:tcBorders>
              <w:bottom w:val="single" w:sz="4" w:space="0" w:color="auto"/>
            </w:tcBorders>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200</w:t>
            </w:r>
          </w:p>
        </w:tc>
        <w:tc>
          <w:tcPr>
            <w:cnfStyle w:val="000010000000" w:firstRow="0" w:lastRow="0" w:firstColumn="0" w:lastColumn="0" w:oddVBand="1" w:evenVBand="0" w:oddHBand="0" w:evenHBand="0" w:firstRowFirstColumn="0" w:firstRowLastColumn="0" w:lastRowFirstColumn="0" w:lastRowLastColumn="0"/>
            <w:tcW w:w="850" w:type="dxa"/>
            <w:tcBorders>
              <w:bottom w:val="single" w:sz="4" w:space="0" w:color="auto"/>
            </w:tcBorders>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1,237</w:t>
            </w:r>
          </w:p>
        </w:tc>
        <w:tc>
          <w:tcPr>
            <w:tcW w:w="851" w:type="dxa"/>
            <w:tcBorders>
              <w:bottom w:val="single" w:sz="4" w:space="0" w:color="auto"/>
            </w:tcBorders>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470</w:t>
            </w:r>
          </w:p>
        </w:tc>
        <w:tc>
          <w:tcPr>
            <w:cnfStyle w:val="000010000000" w:firstRow="0" w:lastRow="0" w:firstColumn="0" w:lastColumn="0" w:oddVBand="1" w:evenVBand="0" w:oddHBand="0" w:evenHBand="0" w:firstRowFirstColumn="0" w:firstRowLastColumn="0" w:lastRowFirstColumn="0" w:lastRowLastColumn="0"/>
            <w:tcW w:w="709" w:type="dxa"/>
            <w:tcBorders>
              <w:bottom w:val="single" w:sz="4" w:space="0" w:color="auto"/>
            </w:tcBorders>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767</w:t>
            </w:r>
          </w:p>
        </w:tc>
        <w:tc>
          <w:tcPr>
            <w:tcW w:w="708" w:type="dxa"/>
            <w:tcBorders>
              <w:bottom w:val="single" w:sz="4" w:space="0" w:color="auto"/>
            </w:tcBorders>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1.10</w:t>
            </w:r>
          </w:p>
        </w:tc>
        <w:tc>
          <w:tcPr>
            <w:cnfStyle w:val="000010000000" w:firstRow="0" w:lastRow="0" w:firstColumn="0" w:lastColumn="0" w:oddVBand="1" w:evenVBand="0" w:oddHBand="0" w:evenHBand="0" w:firstRowFirstColumn="0" w:firstRowLastColumn="0" w:lastRowFirstColumn="0" w:lastRowLastColumn="0"/>
            <w:tcW w:w="709" w:type="dxa"/>
            <w:tcBorders>
              <w:bottom w:val="single" w:sz="4" w:space="0" w:color="auto"/>
            </w:tcBorders>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0.41</w:t>
            </w:r>
          </w:p>
        </w:tc>
        <w:tc>
          <w:tcPr>
            <w:tcW w:w="709" w:type="dxa"/>
            <w:tcBorders>
              <w:bottom w:val="single" w:sz="4" w:space="0" w:color="auto"/>
            </w:tcBorders>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0.67</w:t>
            </w:r>
          </w:p>
        </w:tc>
        <w:tc>
          <w:tcPr>
            <w:cnfStyle w:val="000010000000" w:firstRow="0" w:lastRow="0" w:firstColumn="0" w:lastColumn="0" w:oddVBand="1" w:evenVBand="0" w:oddHBand="0" w:evenHBand="0" w:firstRowFirstColumn="0" w:firstRowLastColumn="0" w:lastRowFirstColumn="0" w:lastRowLastColumn="0"/>
            <w:tcW w:w="850" w:type="dxa"/>
            <w:gridSpan w:val="2"/>
            <w:tcBorders>
              <w:bottom w:val="single" w:sz="4" w:space="0" w:color="auto"/>
            </w:tcBorders>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&lt;1-7</w:t>
            </w:r>
          </w:p>
        </w:tc>
        <w:tc>
          <w:tcPr>
            <w:tcW w:w="567" w:type="dxa"/>
            <w:tcBorders>
              <w:bottom w:val="single" w:sz="4" w:space="0" w:color="auto"/>
            </w:tcBorders>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98</w:t>
            </w:r>
          </w:p>
        </w:tc>
        <w:tc>
          <w:tcPr>
            <w:cnfStyle w:val="000100000000" w:firstRow="0" w:lastRow="0" w:firstColumn="0" w:lastColumn="1" w:oddVBand="0" w:evenVBand="0" w:oddHBand="0" w:evenHBand="0" w:firstRowFirstColumn="0" w:firstRowLastColumn="0" w:lastRowFirstColumn="0" w:lastRowLastColumn="0"/>
            <w:tcW w:w="1418" w:type="dxa"/>
            <w:gridSpan w:val="2"/>
            <w:tcBorders>
              <w:bottom w:val="single" w:sz="4" w:space="0" w:color="auto"/>
            </w:tcBorders>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452</w:t>
            </w:r>
          </w:p>
        </w:tc>
      </w:tr>
      <w:tr w:rsidR="007F63DD" w:rsidRPr="007F63DD" w:rsidTr="00F5610B">
        <w:trPr>
          <w:trHeight w:hRule="exact" w:val="323"/>
        </w:trPr>
        <w:tc>
          <w:tcPr>
            <w:cnfStyle w:val="001000000000" w:firstRow="0" w:lastRow="0" w:firstColumn="1" w:lastColumn="0" w:oddVBand="0" w:evenVBand="0" w:oddHBand="0" w:evenHBand="0" w:firstRowFirstColumn="0" w:firstRowLastColumn="0" w:lastRowFirstColumn="0" w:lastRowLastColumn="0"/>
            <w:tcW w:w="8897" w:type="dxa"/>
            <w:gridSpan w:val="13"/>
            <w:tcBorders>
              <w:top w:val="single" w:sz="4" w:space="0" w:color="auto"/>
            </w:tcBorders>
            <w:shd w:val="clear" w:color="auto" w:fill="auto"/>
          </w:tcPr>
          <w:p w:rsidR="00F5610B" w:rsidRPr="007F63DD" w:rsidRDefault="00F5610B" w:rsidP="00B64114">
            <w:pPr>
              <w:rPr>
                <w:rFonts w:ascii="Times New Roman" w:hAnsi="Times New Roman" w:cs="Times New Roman"/>
                <w:b w:val="0"/>
                <w:color w:val="auto"/>
                <w:sz w:val="24"/>
                <w:szCs w:val="24"/>
                <w:lang w:val="en-US"/>
              </w:rPr>
            </w:pPr>
            <w:r w:rsidRPr="007F63DD">
              <w:rPr>
                <w:rFonts w:ascii="Times New Roman" w:hAnsi="Times New Roman" w:cs="Times New Roman"/>
                <w:b w:val="0"/>
                <w:i/>
                <w:color w:val="auto"/>
                <w:sz w:val="24"/>
                <w:szCs w:val="24"/>
                <w:lang w:val="en-US"/>
              </w:rPr>
              <w:t>Carbon/TiO</w:t>
            </w:r>
            <w:r w:rsidRPr="007F63DD">
              <w:rPr>
                <w:rFonts w:ascii="Times New Roman" w:hAnsi="Times New Roman" w:cs="Times New Roman"/>
                <w:b w:val="0"/>
                <w:i/>
                <w:color w:val="auto"/>
                <w:sz w:val="24"/>
                <w:szCs w:val="24"/>
                <w:vertAlign w:val="subscript"/>
                <w:lang w:val="en-US"/>
              </w:rPr>
              <w:t>2</w:t>
            </w:r>
            <w:r w:rsidRPr="007F63DD">
              <w:rPr>
                <w:rFonts w:ascii="Times New Roman" w:hAnsi="Times New Roman" w:cs="Times New Roman"/>
                <w:b w:val="0"/>
                <w:i/>
                <w:color w:val="auto"/>
                <w:sz w:val="24"/>
                <w:szCs w:val="24"/>
                <w:lang w:val="en-US"/>
              </w:rPr>
              <w:t xml:space="preserve"> prepared by mechanical mixing:</w:t>
            </w:r>
          </w:p>
        </w:tc>
        <w:tc>
          <w:tcPr>
            <w:cnfStyle w:val="000100000000" w:firstRow="0" w:lastRow="0" w:firstColumn="0" w:lastColumn="1" w:oddVBand="0" w:evenVBand="0" w:oddHBand="0" w:evenHBand="0" w:firstRowFirstColumn="0" w:firstRowLastColumn="0" w:lastRowFirstColumn="0" w:lastRowLastColumn="0"/>
            <w:tcW w:w="1134" w:type="dxa"/>
            <w:tcBorders>
              <w:top w:val="single" w:sz="4" w:space="0" w:color="auto"/>
            </w:tcBorders>
          </w:tcPr>
          <w:p w:rsidR="00F5610B" w:rsidRPr="007F63DD" w:rsidRDefault="00F5610B" w:rsidP="00B64114">
            <w:pPr>
              <w:rPr>
                <w:rFonts w:ascii="Times New Roman" w:hAnsi="Times New Roman" w:cs="Times New Roman"/>
                <w:b w:val="0"/>
                <w:i/>
                <w:color w:val="auto"/>
                <w:sz w:val="24"/>
                <w:szCs w:val="24"/>
                <w:lang w:val="en-US"/>
              </w:rPr>
            </w:pP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241"/>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C</w:t>
            </w:r>
            <w:r w:rsidRPr="007F63DD">
              <w:rPr>
                <w:rFonts w:ascii="Times New Roman" w:hAnsi="Times New Roman" w:cs="Times New Roman"/>
                <w:b w:val="0"/>
                <w:color w:val="auto"/>
                <w:sz w:val="24"/>
                <w:szCs w:val="24"/>
                <w:vertAlign w:val="subscript"/>
              </w:rPr>
              <w:t>1</w:t>
            </w:r>
            <w:r w:rsidRPr="007F63DD">
              <w:rPr>
                <w:rFonts w:ascii="Times New Roman" w:hAnsi="Times New Roman" w:cs="Times New Roman"/>
                <w:b w:val="0"/>
                <w:color w:val="auto"/>
                <w:sz w:val="24"/>
                <w:szCs w:val="24"/>
              </w:rPr>
              <w:t>Ti-</w:t>
            </w:r>
            <w:r w:rsidRPr="007F63DD">
              <w:rPr>
                <w:rFonts w:ascii="Times New Roman" w:hAnsi="Times New Roman" w:cs="Times New Roman"/>
                <w:b w:val="0"/>
                <w:i/>
                <w:color w:val="auto"/>
                <w:sz w:val="24"/>
                <w:szCs w:val="24"/>
              </w:rPr>
              <w:t>m</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r w:rsidRPr="007F63DD">
              <w:rPr>
                <w:rFonts w:ascii="Times New Roman" w:hAnsi="Times New Roman" w:cs="Times New Roman"/>
                <w:color w:val="auto"/>
                <w:sz w:val="24"/>
                <w:szCs w:val="24"/>
              </w:rPr>
              <w:t xml:space="preserve">GMC </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350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126</w:t>
            </w:r>
          </w:p>
        </w:tc>
        <w:tc>
          <w:tcPr>
            <w:tcW w:w="851"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26</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101</w:t>
            </w:r>
          </w:p>
        </w:tc>
        <w:tc>
          <w:tcPr>
            <w:tcW w:w="708"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0.37</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0.29</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15-50</w:t>
            </w:r>
          </w:p>
        </w:tc>
        <w:tc>
          <w:tcPr>
            <w:tcW w:w="567"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480</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2</w:t>
            </w:r>
          </w:p>
        </w:tc>
      </w:tr>
      <w:tr w:rsidR="007F63DD" w:rsidRPr="007F63DD" w:rsidTr="00F5610B">
        <w:trPr>
          <w:trHeight w:hRule="exact" w:val="241"/>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C</w:t>
            </w:r>
            <w:r w:rsidRPr="007F63DD">
              <w:rPr>
                <w:rFonts w:ascii="Times New Roman" w:hAnsi="Times New Roman" w:cs="Times New Roman"/>
                <w:b w:val="0"/>
                <w:color w:val="auto"/>
                <w:sz w:val="24"/>
                <w:szCs w:val="24"/>
                <w:vertAlign w:val="subscript"/>
              </w:rPr>
              <w:t>2</w:t>
            </w:r>
            <w:r w:rsidRPr="007F63DD">
              <w:rPr>
                <w:rFonts w:ascii="Times New Roman" w:hAnsi="Times New Roman" w:cs="Times New Roman"/>
                <w:b w:val="0"/>
                <w:color w:val="auto"/>
                <w:sz w:val="24"/>
                <w:szCs w:val="24"/>
              </w:rPr>
              <w:t>Ti-</w:t>
            </w:r>
            <w:r w:rsidRPr="007F63DD">
              <w:rPr>
                <w:rFonts w:ascii="Times New Roman" w:hAnsi="Times New Roman" w:cs="Times New Roman"/>
                <w:b w:val="0"/>
                <w:i/>
                <w:color w:val="auto"/>
                <w:sz w:val="24"/>
                <w:szCs w:val="24"/>
              </w:rPr>
              <w:t>m</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r w:rsidRPr="007F63DD">
              <w:rPr>
                <w:rFonts w:ascii="Times New Roman" w:hAnsi="Times New Roman" w:cs="Times New Roman"/>
                <w:color w:val="auto"/>
                <w:sz w:val="24"/>
                <w:szCs w:val="24"/>
              </w:rPr>
              <w:t xml:space="preserve">ST-300 </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200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162</w:t>
            </w:r>
          </w:p>
        </w:tc>
        <w:tc>
          <w:tcPr>
            <w:tcW w:w="851"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13</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149</w:t>
            </w:r>
          </w:p>
        </w:tc>
        <w:tc>
          <w:tcPr>
            <w:tcW w:w="708"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0.36</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0.31</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15-40</w:t>
            </w:r>
          </w:p>
        </w:tc>
        <w:tc>
          <w:tcPr>
            <w:tcW w:w="567"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663</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11</w:t>
            </w:r>
          </w:p>
        </w:tc>
      </w:tr>
      <w:tr w:rsidR="007F63DD" w:rsidRPr="007F63DD" w:rsidTr="00F5610B">
        <w:trPr>
          <w:cnfStyle w:val="000000100000" w:firstRow="0" w:lastRow="0" w:firstColumn="0" w:lastColumn="0" w:oddVBand="0" w:evenVBand="0" w:oddHBand="1" w:evenHBand="0" w:firstRowFirstColumn="0" w:firstRowLastColumn="0" w:lastRowFirstColumn="0" w:lastRowLastColumn="0"/>
          <w:trHeight w:hRule="exact" w:val="241"/>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C</w:t>
            </w:r>
            <w:r w:rsidRPr="007F63DD">
              <w:rPr>
                <w:rFonts w:ascii="Times New Roman" w:hAnsi="Times New Roman" w:cs="Times New Roman"/>
                <w:b w:val="0"/>
                <w:color w:val="auto"/>
                <w:sz w:val="24"/>
                <w:szCs w:val="24"/>
                <w:vertAlign w:val="subscript"/>
              </w:rPr>
              <w:t>3</w:t>
            </w:r>
            <w:r w:rsidRPr="007F63DD">
              <w:rPr>
                <w:rFonts w:ascii="Times New Roman" w:hAnsi="Times New Roman" w:cs="Times New Roman"/>
                <w:b w:val="0"/>
                <w:color w:val="auto"/>
                <w:sz w:val="24"/>
                <w:szCs w:val="24"/>
              </w:rPr>
              <w:t>Ti-</w:t>
            </w:r>
            <w:r w:rsidRPr="007F63DD">
              <w:rPr>
                <w:rFonts w:ascii="Times New Roman" w:hAnsi="Times New Roman" w:cs="Times New Roman"/>
                <w:b w:val="0"/>
                <w:i/>
                <w:color w:val="auto"/>
                <w:sz w:val="24"/>
                <w:szCs w:val="24"/>
              </w:rPr>
              <w:t>m</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r w:rsidRPr="007F63DD">
              <w:rPr>
                <w:rFonts w:ascii="Times New Roman" w:hAnsi="Times New Roman" w:cs="Times New Roman"/>
                <w:color w:val="auto"/>
                <w:sz w:val="24"/>
                <w:szCs w:val="24"/>
              </w:rPr>
              <w:t xml:space="preserve">ST-800 </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350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352</w:t>
            </w:r>
          </w:p>
        </w:tc>
        <w:tc>
          <w:tcPr>
            <w:tcW w:w="851"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196</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156</w:t>
            </w:r>
          </w:p>
        </w:tc>
        <w:tc>
          <w:tcPr>
            <w:tcW w:w="708"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0.37</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0.09</w:t>
            </w:r>
          </w:p>
        </w:tc>
        <w:tc>
          <w:tcPr>
            <w:tcW w:w="709"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0.28</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0.5-15</w:t>
            </w:r>
          </w:p>
        </w:tc>
        <w:tc>
          <w:tcPr>
            <w:tcW w:w="567" w:type="dxa"/>
            <w:shd w:val="clear" w:color="auto" w:fill="auto"/>
          </w:tcPr>
          <w:p w:rsidR="00F5610B" w:rsidRPr="007F63DD" w:rsidRDefault="00F5610B" w:rsidP="00B64114">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710</w:t>
            </w:r>
          </w:p>
        </w:tc>
        <w:tc>
          <w:tcPr>
            <w:cnfStyle w:val="000100000000" w:firstRow="0" w:lastRow="0" w:firstColumn="0" w:lastColumn="1" w:oddVBand="0" w:evenVBand="0" w:oddHBand="0" w:evenHBand="0" w:firstRowFirstColumn="0" w:firstRowLastColumn="0" w:lastRowFirstColumn="0" w:lastRowLastColumn="0"/>
            <w:tcW w:w="1418"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495</w:t>
            </w:r>
          </w:p>
        </w:tc>
      </w:tr>
      <w:tr w:rsidR="007F63DD" w:rsidRPr="007F63DD" w:rsidTr="00F5610B">
        <w:trPr>
          <w:trHeight w:hRule="exact" w:val="241"/>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ACTi-</w:t>
            </w:r>
            <w:r w:rsidRPr="007F63DD">
              <w:rPr>
                <w:rFonts w:ascii="Times New Roman" w:hAnsi="Times New Roman" w:cs="Times New Roman"/>
                <w:b w:val="0"/>
                <w:i/>
                <w:color w:val="auto"/>
                <w:sz w:val="24"/>
                <w:szCs w:val="24"/>
              </w:rPr>
              <w:t>m</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color w:val="auto"/>
                <w:sz w:val="24"/>
                <w:szCs w:val="24"/>
              </w:rPr>
            </w:pPr>
            <w:r w:rsidRPr="007F63DD">
              <w:rPr>
                <w:rFonts w:ascii="Times New Roman" w:hAnsi="Times New Roman" w:cs="Times New Roman"/>
                <w:color w:val="auto"/>
                <w:sz w:val="24"/>
                <w:szCs w:val="24"/>
              </w:rPr>
              <w:t>Norit</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200</w:t>
            </w: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455</w:t>
            </w:r>
          </w:p>
        </w:tc>
        <w:tc>
          <w:tcPr>
            <w:tcW w:w="851"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145</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310</w:t>
            </w:r>
          </w:p>
        </w:tc>
        <w:tc>
          <w:tcPr>
            <w:tcW w:w="708"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0.43</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0.12</w:t>
            </w:r>
          </w:p>
        </w:tc>
        <w:tc>
          <w:tcPr>
            <w:tcW w:w="709"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0.31</w:t>
            </w: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color w:val="auto"/>
                <w:sz w:val="24"/>
                <w:szCs w:val="24"/>
              </w:rPr>
            </w:pPr>
            <w:r w:rsidRPr="007F63DD">
              <w:rPr>
                <w:rFonts w:ascii="Times New Roman" w:hAnsi="Times New Roman" w:cs="Times New Roman"/>
                <w:color w:val="auto"/>
                <w:sz w:val="24"/>
                <w:szCs w:val="24"/>
              </w:rPr>
              <w:t>&lt;1-7</w:t>
            </w:r>
          </w:p>
        </w:tc>
        <w:tc>
          <w:tcPr>
            <w:tcW w:w="567" w:type="dxa"/>
            <w:shd w:val="clear" w:color="auto" w:fill="auto"/>
          </w:tcPr>
          <w:p w:rsidR="00F5610B" w:rsidRPr="007F63DD" w:rsidRDefault="00F5610B" w:rsidP="00B64114">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F63DD">
              <w:rPr>
                <w:rFonts w:ascii="Times New Roman" w:hAnsi="Times New Roman" w:cs="Times New Roman"/>
                <w:color w:val="auto"/>
                <w:sz w:val="24"/>
                <w:szCs w:val="24"/>
              </w:rPr>
              <w:t>800</w:t>
            </w:r>
          </w:p>
        </w:tc>
        <w:tc>
          <w:tcPr>
            <w:cnfStyle w:val="000100000000" w:firstRow="0" w:lastRow="0" w:firstColumn="0" w:lastColumn="1" w:oddVBand="0" w:evenVBand="0" w:oddHBand="0" w:evenHBand="0" w:firstRowFirstColumn="0" w:firstRowLastColumn="0" w:lastRowFirstColumn="0" w:lastRowLastColumn="0"/>
            <w:tcW w:w="1418" w:type="dxa"/>
            <w:gridSpan w:val="2"/>
          </w:tcPr>
          <w:p w:rsidR="00F5610B" w:rsidRPr="007F63DD" w:rsidRDefault="00F5610B" w:rsidP="00B64114">
            <w:pPr>
              <w:jc w:val="right"/>
              <w:rPr>
                <w:rFonts w:ascii="Times New Roman" w:hAnsi="Times New Roman" w:cs="Times New Roman"/>
                <w:b w:val="0"/>
                <w:color w:val="auto"/>
                <w:sz w:val="24"/>
                <w:szCs w:val="24"/>
              </w:rPr>
            </w:pPr>
            <w:r w:rsidRPr="007F63DD">
              <w:rPr>
                <w:rFonts w:ascii="Times New Roman" w:hAnsi="Times New Roman" w:cs="Times New Roman"/>
                <w:b w:val="0"/>
                <w:color w:val="auto"/>
                <w:sz w:val="24"/>
                <w:szCs w:val="24"/>
              </w:rPr>
              <w:t>275</w:t>
            </w:r>
          </w:p>
        </w:tc>
      </w:tr>
      <w:tr w:rsidR="007F63DD" w:rsidRPr="007F63DD" w:rsidTr="00F5610B">
        <w:trPr>
          <w:cnfStyle w:val="010000000000" w:firstRow="0" w:lastRow="1" w:firstColumn="0" w:lastColumn="0" w:oddVBand="0" w:evenVBand="0" w:oddHBand="0" w:evenHBand="0" w:firstRowFirstColumn="0" w:firstRowLastColumn="0" w:lastRowFirstColumn="0" w:lastRowLastColumn="0"/>
          <w:trHeight w:hRule="exact" w:val="241"/>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rsidR="00F5610B" w:rsidRPr="007F63DD" w:rsidRDefault="00F5610B" w:rsidP="00B64114">
            <w:pPr>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F5610B" w:rsidRPr="007F63DD" w:rsidRDefault="00F5610B" w:rsidP="00B64114">
            <w:pPr>
              <w:rPr>
                <w:rFonts w:ascii="Times New Roman" w:hAnsi="Times New Roman" w:cs="Times New Roman"/>
                <w:b w:val="0"/>
                <w:color w:val="auto"/>
                <w:sz w:val="24"/>
                <w:szCs w:val="24"/>
              </w:rPr>
            </w:pPr>
          </w:p>
        </w:tc>
        <w:tc>
          <w:tcPr>
            <w:tcW w:w="709" w:type="dxa"/>
            <w:shd w:val="clear" w:color="auto" w:fill="auto"/>
          </w:tcPr>
          <w:p w:rsidR="00F5610B" w:rsidRPr="007F63DD" w:rsidRDefault="00F5610B" w:rsidP="00B64114">
            <w:pPr>
              <w:jc w:val="right"/>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850" w:type="dxa"/>
            <w:shd w:val="clear" w:color="auto" w:fill="auto"/>
          </w:tcPr>
          <w:p w:rsidR="00F5610B" w:rsidRPr="007F63DD" w:rsidRDefault="00F5610B" w:rsidP="00B64114">
            <w:pPr>
              <w:jc w:val="right"/>
              <w:rPr>
                <w:rFonts w:ascii="Times New Roman" w:hAnsi="Times New Roman" w:cs="Times New Roman"/>
                <w:b w:val="0"/>
                <w:color w:val="auto"/>
                <w:sz w:val="24"/>
                <w:szCs w:val="24"/>
              </w:rPr>
            </w:pPr>
          </w:p>
        </w:tc>
        <w:tc>
          <w:tcPr>
            <w:tcW w:w="851" w:type="dxa"/>
            <w:shd w:val="clear" w:color="auto" w:fill="auto"/>
          </w:tcPr>
          <w:p w:rsidR="00F5610B" w:rsidRPr="007F63DD" w:rsidRDefault="00F5610B" w:rsidP="00B64114">
            <w:pPr>
              <w:jc w:val="right"/>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b w:val="0"/>
                <w:color w:val="auto"/>
                <w:sz w:val="24"/>
                <w:szCs w:val="24"/>
              </w:rPr>
            </w:pPr>
          </w:p>
        </w:tc>
        <w:tc>
          <w:tcPr>
            <w:tcW w:w="708" w:type="dxa"/>
            <w:shd w:val="clear" w:color="auto" w:fill="auto"/>
          </w:tcPr>
          <w:p w:rsidR="00F5610B" w:rsidRPr="007F63DD" w:rsidRDefault="00F5610B" w:rsidP="00B64114">
            <w:pPr>
              <w:jc w:val="right"/>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F5610B" w:rsidRPr="007F63DD" w:rsidRDefault="00F5610B" w:rsidP="00B64114">
            <w:pPr>
              <w:jc w:val="right"/>
              <w:rPr>
                <w:rFonts w:ascii="Times New Roman" w:hAnsi="Times New Roman" w:cs="Times New Roman"/>
                <w:b w:val="0"/>
                <w:color w:val="auto"/>
                <w:sz w:val="24"/>
                <w:szCs w:val="24"/>
              </w:rPr>
            </w:pPr>
          </w:p>
        </w:tc>
        <w:tc>
          <w:tcPr>
            <w:tcW w:w="709" w:type="dxa"/>
            <w:shd w:val="clear" w:color="auto" w:fill="auto"/>
          </w:tcPr>
          <w:p w:rsidR="00F5610B" w:rsidRPr="007F63DD" w:rsidRDefault="00F5610B" w:rsidP="00B64114">
            <w:pPr>
              <w:jc w:val="right"/>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850" w:type="dxa"/>
            <w:gridSpan w:val="2"/>
            <w:shd w:val="clear" w:color="auto" w:fill="auto"/>
          </w:tcPr>
          <w:p w:rsidR="00F5610B" w:rsidRPr="007F63DD" w:rsidRDefault="00F5610B" w:rsidP="00B64114">
            <w:pPr>
              <w:jc w:val="right"/>
              <w:rPr>
                <w:rFonts w:ascii="Times New Roman" w:hAnsi="Times New Roman" w:cs="Times New Roman"/>
                <w:b w:val="0"/>
                <w:color w:val="auto"/>
                <w:sz w:val="24"/>
                <w:szCs w:val="24"/>
              </w:rPr>
            </w:pPr>
          </w:p>
        </w:tc>
        <w:tc>
          <w:tcPr>
            <w:tcW w:w="567" w:type="dxa"/>
            <w:shd w:val="clear" w:color="auto" w:fill="auto"/>
          </w:tcPr>
          <w:p w:rsidR="00F5610B" w:rsidRPr="007F63DD" w:rsidRDefault="00F5610B" w:rsidP="00B64114">
            <w:pPr>
              <w:jc w:val="right"/>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p>
        </w:tc>
        <w:tc>
          <w:tcPr>
            <w:cnfStyle w:val="000100000000" w:firstRow="0" w:lastRow="0" w:firstColumn="0" w:lastColumn="1" w:oddVBand="0" w:evenVBand="0" w:oddHBand="0" w:evenHBand="0" w:firstRowFirstColumn="0" w:firstRowLastColumn="0" w:lastRowFirstColumn="0" w:lastRowLastColumn="0"/>
            <w:tcW w:w="1418" w:type="dxa"/>
            <w:gridSpan w:val="2"/>
          </w:tcPr>
          <w:p w:rsidR="00F5610B" w:rsidRPr="007F63DD" w:rsidRDefault="00F5610B" w:rsidP="00B64114">
            <w:pPr>
              <w:jc w:val="right"/>
              <w:rPr>
                <w:rFonts w:ascii="Times New Roman" w:hAnsi="Times New Roman" w:cs="Times New Roman"/>
                <w:b w:val="0"/>
                <w:color w:val="auto"/>
                <w:sz w:val="24"/>
                <w:szCs w:val="24"/>
              </w:rPr>
            </w:pPr>
          </w:p>
        </w:tc>
      </w:tr>
    </w:tbl>
    <w:p w:rsidR="00F5610B" w:rsidRPr="007F63DD" w:rsidRDefault="00F5610B" w:rsidP="00F5610B"/>
    <w:p w:rsidR="00FA54D2" w:rsidRPr="007F63DD" w:rsidRDefault="00FA54D2">
      <w:r w:rsidRPr="007F63DD">
        <w:br w:type="page"/>
      </w:r>
    </w:p>
    <w:p w:rsidR="00FA54D2" w:rsidRPr="007F63DD" w:rsidRDefault="00FA54D2" w:rsidP="00FA54D2">
      <w:pPr>
        <w:pStyle w:val="EstiloTesis"/>
      </w:pPr>
      <w:r w:rsidRPr="007F63DD">
        <w:rPr>
          <w:noProof/>
          <w:lang w:val="es-ES" w:eastAsia="es-ES"/>
        </w:rPr>
        <w:lastRenderedPageBreak/>
        <w:drawing>
          <wp:inline distT="0" distB="0" distL="0" distR="0" wp14:anchorId="58AAF79B" wp14:editId="31E9D179">
            <wp:extent cx="5401310" cy="4352925"/>
            <wp:effectExtent l="0" t="0" r="889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1310" cy="4352925"/>
                    </a:xfrm>
                    <a:prstGeom prst="rect">
                      <a:avLst/>
                    </a:prstGeom>
                    <a:noFill/>
                  </pic:spPr>
                </pic:pic>
              </a:graphicData>
            </a:graphic>
          </wp:inline>
        </w:drawing>
      </w:r>
    </w:p>
    <w:p w:rsidR="00FA54D2" w:rsidRPr="007F63DD" w:rsidRDefault="00FA54D2" w:rsidP="00FA54D2">
      <w:pPr>
        <w:pStyle w:val="EstiloTesis"/>
      </w:pPr>
      <w:r w:rsidRPr="007F63DD">
        <w:t>Figure 1. SEM micrographs of carbonaceous materials: a) C</w:t>
      </w:r>
      <w:r w:rsidRPr="007F63DD">
        <w:rPr>
          <w:vertAlign w:val="subscript"/>
        </w:rPr>
        <w:t>1</w:t>
      </w:r>
      <w:r w:rsidRPr="007F63DD">
        <w:t>, b) C</w:t>
      </w:r>
      <w:r w:rsidRPr="007F63DD">
        <w:rPr>
          <w:vertAlign w:val="subscript"/>
        </w:rPr>
        <w:t>2</w:t>
      </w:r>
      <w:r w:rsidRPr="007F63DD">
        <w:t>, c) C</w:t>
      </w:r>
      <w:r w:rsidRPr="007F63DD">
        <w:rPr>
          <w:vertAlign w:val="subscript"/>
        </w:rPr>
        <w:t>3</w:t>
      </w:r>
      <w:r w:rsidRPr="007F63DD">
        <w:t xml:space="preserve"> and d) AC.</w:t>
      </w:r>
    </w:p>
    <w:p w:rsidR="00FA54D2" w:rsidRPr="007F63DD" w:rsidRDefault="00FA54D2" w:rsidP="00FA54D2">
      <w:pPr>
        <w:jc w:val="center"/>
        <w:rPr>
          <w:noProof/>
          <w:lang w:eastAsia="es-ES"/>
        </w:rPr>
      </w:pPr>
      <w:r w:rsidRPr="007F63DD">
        <w:rPr>
          <w:noProof/>
          <w:lang w:eastAsia="es-ES"/>
        </w:rPr>
        <w:lastRenderedPageBreak/>
        <w:drawing>
          <wp:inline distT="0" distB="0" distL="0" distR="0" wp14:anchorId="7215D277" wp14:editId="4A381252">
            <wp:extent cx="3332698" cy="4631056"/>
            <wp:effectExtent l="0" t="0" r="127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334399" cy="4633420"/>
                    </a:xfrm>
                    <a:prstGeom prst="rect">
                      <a:avLst/>
                    </a:prstGeom>
                  </pic:spPr>
                </pic:pic>
              </a:graphicData>
            </a:graphic>
          </wp:inline>
        </w:drawing>
      </w:r>
    </w:p>
    <w:p w:rsidR="00FA54D2" w:rsidRPr="007F63DD" w:rsidRDefault="00FA54D2" w:rsidP="00FA54D2">
      <w:pPr>
        <w:jc w:val="center"/>
        <w:rPr>
          <w:highlight w:val="yellow"/>
        </w:rPr>
      </w:pPr>
    </w:p>
    <w:p w:rsidR="00FA54D2" w:rsidRPr="007F63DD" w:rsidRDefault="00FA54D2" w:rsidP="00FA54D2">
      <w:pPr>
        <w:jc w:val="both"/>
        <w:rPr>
          <w:rFonts w:ascii="Times New Roman" w:hAnsi="Times New Roman" w:cs="Times New Roman"/>
          <w:lang w:val="en-AU"/>
        </w:rPr>
      </w:pPr>
      <w:r w:rsidRPr="007F63DD">
        <w:rPr>
          <w:rFonts w:ascii="Times New Roman" w:hAnsi="Times New Roman" w:cs="Times New Roman"/>
          <w:lang w:val="en-GB"/>
        </w:rPr>
        <w:t xml:space="preserve">Figure 2. </w:t>
      </w:r>
      <w:r w:rsidRPr="007F63DD">
        <w:rPr>
          <w:rFonts w:ascii="Times New Roman" w:hAnsi="Times New Roman" w:cs="Times New Roman"/>
          <w:lang w:val="en-AU"/>
        </w:rPr>
        <w:t>HRTEM images recorded in the specimens C</w:t>
      </w:r>
      <w:r w:rsidRPr="007F63DD">
        <w:rPr>
          <w:rFonts w:ascii="Times New Roman" w:hAnsi="Times New Roman" w:cs="Times New Roman"/>
          <w:vertAlign w:val="subscript"/>
          <w:lang w:val="en-AU"/>
        </w:rPr>
        <w:t>1</w:t>
      </w:r>
      <w:r w:rsidRPr="007F63DD">
        <w:rPr>
          <w:rFonts w:ascii="Times New Roman" w:hAnsi="Times New Roman" w:cs="Times New Roman"/>
          <w:lang w:val="en-AU"/>
        </w:rPr>
        <w:t>, in (a), C</w:t>
      </w:r>
      <w:r w:rsidRPr="007F63DD">
        <w:rPr>
          <w:rFonts w:ascii="Times New Roman" w:hAnsi="Times New Roman" w:cs="Times New Roman"/>
          <w:vertAlign w:val="subscript"/>
          <w:lang w:val="en-AU"/>
        </w:rPr>
        <w:t>2</w:t>
      </w:r>
      <w:r w:rsidRPr="007F63DD">
        <w:rPr>
          <w:rFonts w:ascii="Times New Roman" w:hAnsi="Times New Roman" w:cs="Times New Roman"/>
          <w:lang w:val="en-AU"/>
        </w:rPr>
        <w:t>, in (b), C</w:t>
      </w:r>
      <w:r w:rsidRPr="007F63DD">
        <w:rPr>
          <w:rFonts w:ascii="Times New Roman" w:hAnsi="Times New Roman" w:cs="Times New Roman"/>
          <w:vertAlign w:val="subscript"/>
          <w:lang w:val="en-AU"/>
        </w:rPr>
        <w:t>3</w:t>
      </w:r>
      <w:r w:rsidRPr="007F63DD">
        <w:rPr>
          <w:rFonts w:ascii="Times New Roman" w:hAnsi="Times New Roman" w:cs="Times New Roman"/>
          <w:lang w:val="en-AU"/>
        </w:rPr>
        <w:t>, in (c) and AC, in (d). In (b), (c) and (d) some areas in some other particles are inset to stress the atomic structure details found as important for the subject matter of this investigation. In (e) and (f) the low loss and core loss energy loss spectra, respectively, are presented for all four samples as indicated in the panel.</w:t>
      </w:r>
    </w:p>
    <w:p w:rsidR="00FA54D2" w:rsidRPr="007F63DD" w:rsidRDefault="00FA54D2" w:rsidP="00FA54D2">
      <w:pPr>
        <w:jc w:val="both"/>
        <w:rPr>
          <w:rFonts w:ascii="Times New Roman" w:hAnsi="Times New Roman" w:cs="Times New Roman"/>
          <w:lang w:val="en-AU"/>
        </w:rPr>
      </w:pPr>
    </w:p>
    <w:p w:rsidR="00FA54D2" w:rsidRPr="007F63DD" w:rsidRDefault="00FA54D2" w:rsidP="00FA54D2">
      <w:pPr>
        <w:jc w:val="both"/>
        <w:rPr>
          <w:rFonts w:ascii="Times New Roman" w:hAnsi="Times New Roman" w:cs="Times New Roman"/>
          <w:lang w:val="en-AU"/>
        </w:rPr>
      </w:pPr>
    </w:p>
    <w:p w:rsidR="00FA54D2" w:rsidRPr="007F63DD" w:rsidRDefault="00FA54D2" w:rsidP="00FA54D2">
      <w:pPr>
        <w:jc w:val="both"/>
        <w:rPr>
          <w:rFonts w:ascii="Times New Roman" w:hAnsi="Times New Roman" w:cs="Times New Roman"/>
          <w:lang w:val="en-AU"/>
        </w:rPr>
      </w:pPr>
    </w:p>
    <w:p w:rsidR="00FA54D2" w:rsidRPr="007F63DD" w:rsidRDefault="00FA54D2" w:rsidP="00FA54D2">
      <w:pPr>
        <w:pStyle w:val="Textosinformato"/>
        <w:jc w:val="center"/>
        <w:rPr>
          <w:lang w:val="en-GB"/>
        </w:rPr>
      </w:pPr>
      <w:r w:rsidRPr="007F63DD">
        <w:rPr>
          <w:noProof/>
          <w:lang w:eastAsia="es-ES"/>
        </w:rPr>
        <w:lastRenderedPageBreak/>
        <w:drawing>
          <wp:anchor distT="0" distB="0" distL="114300" distR="114300" simplePos="0" relativeHeight="251661312" behindDoc="0" locked="0" layoutInCell="1" allowOverlap="1" wp14:anchorId="6423ADA0" wp14:editId="47C8CB29">
            <wp:simplePos x="0" y="0"/>
            <wp:positionH relativeFrom="column">
              <wp:posOffset>1318008</wp:posOffset>
            </wp:positionH>
            <wp:positionV relativeFrom="paragraph">
              <wp:posOffset>385541</wp:posOffset>
            </wp:positionV>
            <wp:extent cx="1320757" cy="1224951"/>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7873" r="11731"/>
                    <a:stretch/>
                  </pic:blipFill>
                  <pic:spPr bwMode="auto">
                    <a:xfrm>
                      <a:off x="0" y="0"/>
                      <a:ext cx="1334406" cy="12376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F63DD">
        <w:rPr>
          <w:noProof/>
          <w:lang w:eastAsia="es-ES"/>
        </w:rPr>
        <w:drawing>
          <wp:inline distT="0" distB="0" distL="0" distR="0" wp14:anchorId="7D26BD48" wp14:editId="523867BE">
            <wp:extent cx="4244196" cy="339904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2707" r="5801"/>
                    <a:stretch/>
                  </pic:blipFill>
                  <pic:spPr bwMode="auto">
                    <a:xfrm>
                      <a:off x="0" y="0"/>
                      <a:ext cx="4264461" cy="3415275"/>
                    </a:xfrm>
                    <a:prstGeom prst="rect">
                      <a:avLst/>
                    </a:prstGeom>
                    <a:noFill/>
                    <a:ln>
                      <a:noFill/>
                    </a:ln>
                    <a:extLst>
                      <a:ext uri="{53640926-AAD7-44D8-BBD7-CCE9431645EC}">
                        <a14:shadowObscured xmlns:a14="http://schemas.microsoft.com/office/drawing/2010/main"/>
                      </a:ext>
                    </a:extLst>
                  </pic:spPr>
                </pic:pic>
              </a:graphicData>
            </a:graphic>
          </wp:inline>
        </w:drawing>
      </w:r>
    </w:p>
    <w:p w:rsidR="00FA54D2" w:rsidRPr="007F63DD" w:rsidRDefault="00FA54D2" w:rsidP="00FA54D2">
      <w:pPr>
        <w:pStyle w:val="Textosinformato"/>
        <w:jc w:val="both"/>
        <w:rPr>
          <w:rFonts w:ascii="Times New Roman" w:eastAsiaTheme="minorEastAsia" w:hAnsi="Times New Roman" w:cs="Times New Roman"/>
          <w:sz w:val="24"/>
          <w:szCs w:val="24"/>
          <w:lang w:val="en-AU" w:eastAsia="en-GB"/>
        </w:rPr>
      </w:pPr>
      <w:r w:rsidRPr="007F63DD">
        <w:rPr>
          <w:rFonts w:ascii="Times New Roman" w:eastAsiaTheme="minorEastAsia" w:hAnsi="Times New Roman" w:cs="Times New Roman"/>
          <w:sz w:val="24"/>
          <w:szCs w:val="24"/>
          <w:lang w:val="en-AU" w:eastAsia="en-GB"/>
        </w:rPr>
        <w:t>Figure 3. HCHO and C</w:t>
      </w:r>
      <w:r w:rsidRPr="007F63DD">
        <w:rPr>
          <w:rFonts w:ascii="Times New Roman" w:eastAsiaTheme="minorEastAsia" w:hAnsi="Times New Roman" w:cs="Times New Roman"/>
          <w:sz w:val="24"/>
          <w:szCs w:val="24"/>
          <w:vertAlign w:val="subscript"/>
          <w:lang w:val="en-AU" w:eastAsia="en-GB"/>
        </w:rPr>
        <w:t>2</w:t>
      </w:r>
      <w:r w:rsidRPr="007F63DD">
        <w:rPr>
          <w:rFonts w:ascii="Times New Roman" w:eastAsiaTheme="minorEastAsia" w:hAnsi="Times New Roman" w:cs="Times New Roman"/>
          <w:sz w:val="24"/>
          <w:szCs w:val="24"/>
          <w:lang w:val="en-AU" w:eastAsia="en-GB"/>
        </w:rPr>
        <w:t>HCl</w:t>
      </w:r>
      <w:r w:rsidRPr="007F63DD">
        <w:rPr>
          <w:rFonts w:ascii="Times New Roman" w:eastAsiaTheme="minorEastAsia" w:hAnsi="Times New Roman" w:cs="Times New Roman"/>
          <w:sz w:val="24"/>
          <w:szCs w:val="24"/>
          <w:vertAlign w:val="subscript"/>
          <w:lang w:val="en-AU" w:eastAsia="en-GB"/>
        </w:rPr>
        <w:t>3</w:t>
      </w:r>
      <w:r w:rsidRPr="007F63DD">
        <w:rPr>
          <w:rFonts w:ascii="Times New Roman" w:eastAsiaTheme="minorEastAsia" w:hAnsi="Times New Roman" w:cs="Times New Roman"/>
          <w:sz w:val="24"/>
          <w:szCs w:val="24"/>
          <w:lang w:val="en-AU" w:eastAsia="en-GB"/>
        </w:rPr>
        <w:t xml:space="preserve"> adsorption for carbonaceous materials thermally treated.</w:t>
      </w:r>
    </w:p>
    <w:p w:rsidR="00FA54D2" w:rsidRPr="007F63DD" w:rsidRDefault="00FA54D2" w:rsidP="00FA54D2">
      <w:pPr>
        <w:jc w:val="both"/>
        <w:rPr>
          <w:rFonts w:ascii="Times New Roman" w:hAnsi="Times New Roman" w:cs="Times New Roman"/>
          <w:lang w:val="en-AU"/>
        </w:rPr>
      </w:pPr>
    </w:p>
    <w:p w:rsidR="00FA54D2" w:rsidRPr="007F63DD" w:rsidRDefault="00FA54D2" w:rsidP="00FA54D2">
      <w:pPr>
        <w:jc w:val="both"/>
        <w:rPr>
          <w:rFonts w:ascii="Times New Roman" w:hAnsi="Times New Roman" w:cs="Times New Roman"/>
          <w:lang w:val="en-AU"/>
        </w:rPr>
      </w:pPr>
    </w:p>
    <w:p w:rsidR="00FA54D2" w:rsidRPr="007F63DD" w:rsidRDefault="00FA54D2" w:rsidP="00FA54D2">
      <w:pPr>
        <w:pStyle w:val="EstiloTesis"/>
      </w:pPr>
    </w:p>
    <w:p w:rsidR="00FA54D2" w:rsidRPr="007F63DD" w:rsidRDefault="00FA54D2" w:rsidP="00FA54D2">
      <w:pPr>
        <w:spacing w:after="160" w:line="259" w:lineRule="auto"/>
        <w:rPr>
          <w:rFonts w:ascii="Times New Roman" w:hAnsi="Times New Roman" w:cs="Times New Roman"/>
          <w:lang w:val="en-GB"/>
        </w:rPr>
      </w:pPr>
      <w:r w:rsidRPr="007F63DD">
        <w:rPr>
          <w:lang w:val="en-GB"/>
        </w:rPr>
        <w:br w:type="page"/>
      </w:r>
    </w:p>
    <w:p w:rsidR="00FA54D2" w:rsidRPr="007F63DD" w:rsidRDefault="00FA54D2" w:rsidP="00FA54D2">
      <w:pPr>
        <w:pStyle w:val="EstiloTesis"/>
      </w:pPr>
    </w:p>
    <w:p w:rsidR="00FA54D2" w:rsidRPr="007F63DD" w:rsidRDefault="00FA54D2" w:rsidP="00FA54D2">
      <w:pPr>
        <w:pStyle w:val="EstiloTesis"/>
      </w:pPr>
      <w:r w:rsidRPr="007F63DD">
        <w:rPr>
          <w:noProof/>
          <w:lang w:val="es-ES" w:eastAsia="es-ES"/>
        </w:rPr>
        <w:drawing>
          <wp:inline distT="0" distB="0" distL="0" distR="0" wp14:anchorId="58F0D623" wp14:editId="2A53EF0F">
            <wp:extent cx="2625855" cy="2165299"/>
            <wp:effectExtent l="0" t="0" r="0" b="69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5590" t="5064" r="13701" b="5703"/>
                    <a:stretch/>
                  </pic:blipFill>
                  <pic:spPr bwMode="auto">
                    <a:xfrm>
                      <a:off x="0" y="0"/>
                      <a:ext cx="2626188" cy="2165574"/>
                    </a:xfrm>
                    <a:prstGeom prst="rect">
                      <a:avLst/>
                    </a:prstGeom>
                    <a:noFill/>
                    <a:ln>
                      <a:noFill/>
                    </a:ln>
                    <a:extLst>
                      <a:ext uri="{53640926-AAD7-44D8-BBD7-CCE9431645EC}">
                        <a14:shadowObscured xmlns:a14="http://schemas.microsoft.com/office/drawing/2010/main"/>
                      </a:ext>
                    </a:extLst>
                  </pic:spPr>
                </pic:pic>
              </a:graphicData>
            </a:graphic>
          </wp:inline>
        </w:drawing>
      </w:r>
      <w:r w:rsidRPr="007F63DD">
        <w:rPr>
          <w:noProof/>
          <w:lang w:val="es-ES" w:eastAsia="es-ES"/>
        </w:rPr>
        <w:drawing>
          <wp:inline distT="0" distB="0" distL="0" distR="0" wp14:anchorId="7106CCF7" wp14:editId="2CF21A9D">
            <wp:extent cx="2633472" cy="2179632"/>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1260" t="8682" r="9291" b="3290"/>
                    <a:stretch/>
                  </pic:blipFill>
                  <pic:spPr bwMode="auto">
                    <a:xfrm>
                      <a:off x="0" y="0"/>
                      <a:ext cx="2634820" cy="2180748"/>
                    </a:xfrm>
                    <a:prstGeom prst="rect">
                      <a:avLst/>
                    </a:prstGeom>
                    <a:noFill/>
                    <a:ln>
                      <a:noFill/>
                    </a:ln>
                    <a:extLst>
                      <a:ext uri="{53640926-AAD7-44D8-BBD7-CCE9431645EC}">
                        <a14:shadowObscured xmlns:a14="http://schemas.microsoft.com/office/drawing/2010/main"/>
                      </a:ext>
                    </a:extLst>
                  </pic:spPr>
                </pic:pic>
              </a:graphicData>
            </a:graphic>
          </wp:inline>
        </w:drawing>
      </w:r>
    </w:p>
    <w:p w:rsidR="00FA54D2" w:rsidRPr="007F63DD" w:rsidRDefault="00FA54D2" w:rsidP="00FA54D2">
      <w:pPr>
        <w:pStyle w:val="EstiloTesis"/>
      </w:pPr>
      <w:r w:rsidRPr="007F63DD">
        <w:t>Figure 4. Diffractograms of the synthesized carbon/TiO</w:t>
      </w:r>
      <w:r w:rsidRPr="007F63DD">
        <w:rPr>
          <w:vertAlign w:val="subscript"/>
        </w:rPr>
        <w:t>2</w:t>
      </w:r>
      <w:r w:rsidRPr="007F63DD">
        <w:t xml:space="preserve"> composites and the reference materials for: (a) C</w:t>
      </w:r>
      <w:r w:rsidRPr="007F63DD">
        <w:rPr>
          <w:vertAlign w:val="subscript"/>
        </w:rPr>
        <w:t>x</w:t>
      </w:r>
      <w:r w:rsidRPr="007F63DD">
        <w:t>Ti-</w:t>
      </w:r>
      <w:r w:rsidRPr="007F63DD">
        <w:rPr>
          <w:i/>
        </w:rPr>
        <w:t>m</w:t>
      </w:r>
      <w:r w:rsidRPr="007F63DD">
        <w:t xml:space="preserve"> (b) C</w:t>
      </w:r>
      <w:r w:rsidRPr="007F63DD">
        <w:rPr>
          <w:vertAlign w:val="subscript"/>
        </w:rPr>
        <w:t>x</w:t>
      </w:r>
      <w:r w:rsidRPr="007F63DD">
        <w:t>Ti-</w:t>
      </w:r>
      <w:r w:rsidRPr="007F63DD">
        <w:rPr>
          <w:i/>
        </w:rPr>
        <w:t>i</w:t>
      </w:r>
      <w:r w:rsidRPr="007F63DD">
        <w:t xml:space="preserve"> series: TiO</w:t>
      </w:r>
      <w:r w:rsidRPr="007F63DD">
        <w:rPr>
          <w:vertAlign w:val="subscript"/>
        </w:rPr>
        <w:t>2</w:t>
      </w:r>
      <w:r w:rsidRPr="007F63DD">
        <w:t>-anatase (</w:t>
      </w:r>
      <w:r w:rsidRPr="007F63DD">
        <w:sym w:font="Wingdings" w:char="F06F"/>
      </w:r>
      <w:r w:rsidRPr="007F63DD">
        <w:t>), TiO</w:t>
      </w:r>
      <w:r w:rsidRPr="007F63DD">
        <w:rPr>
          <w:vertAlign w:val="subscript"/>
        </w:rPr>
        <w:t>2</w:t>
      </w:r>
      <w:r w:rsidRPr="007F63DD">
        <w:t>-rutile (●) and TiO</w:t>
      </w:r>
      <w:r w:rsidRPr="007F63DD">
        <w:rPr>
          <w:vertAlign w:val="subscript"/>
        </w:rPr>
        <w:t>2</w:t>
      </w:r>
      <w:r w:rsidRPr="007F63DD">
        <w:t>-brookite (</w:t>
      </w:r>
      <w:r w:rsidRPr="007F63DD">
        <w:sym w:font="Wingdings 2" w:char="F0EA"/>
      </w:r>
      <w:r w:rsidRPr="007F63DD">
        <w:t>).</w:t>
      </w:r>
    </w:p>
    <w:p w:rsidR="00FA54D2" w:rsidRPr="007F63DD" w:rsidRDefault="00FA54D2" w:rsidP="00FA54D2">
      <w:pPr>
        <w:pStyle w:val="EstiloTesis"/>
      </w:pPr>
    </w:p>
    <w:p w:rsidR="00FA54D2" w:rsidRPr="007F63DD" w:rsidRDefault="00FA54D2" w:rsidP="00FA54D2">
      <w:pPr>
        <w:pStyle w:val="EstiloTesis"/>
      </w:pPr>
    </w:p>
    <w:p w:rsidR="00FA54D2" w:rsidRPr="007F63DD" w:rsidRDefault="00FA54D2" w:rsidP="00FA54D2">
      <w:pPr>
        <w:pStyle w:val="EstiloTesis"/>
      </w:pPr>
    </w:p>
    <w:p w:rsidR="00FA54D2" w:rsidRPr="007F63DD" w:rsidRDefault="00FA54D2" w:rsidP="00FA54D2">
      <w:pPr>
        <w:pStyle w:val="EstiloTesis"/>
      </w:pPr>
    </w:p>
    <w:p w:rsidR="00FA54D2" w:rsidRPr="007F63DD" w:rsidRDefault="00FA54D2" w:rsidP="00FA54D2">
      <w:pPr>
        <w:pStyle w:val="EstiloTesis"/>
      </w:pPr>
    </w:p>
    <w:p w:rsidR="00FA54D2" w:rsidRPr="007F63DD" w:rsidRDefault="00FA54D2" w:rsidP="00FA54D2">
      <w:pPr>
        <w:pStyle w:val="EstiloTesis"/>
      </w:pPr>
      <w:r w:rsidRPr="007F63DD">
        <w:rPr>
          <w:noProof/>
          <w:lang w:val="es-ES" w:eastAsia="es-ES"/>
        </w:rPr>
        <w:drawing>
          <wp:inline distT="0" distB="0" distL="0" distR="0" wp14:anchorId="5EF3CEAD" wp14:editId="4A4CB44A">
            <wp:extent cx="5762846" cy="1153409"/>
            <wp:effectExtent l="0" t="0" r="0" b="889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5582" cy="1153957"/>
                    </a:xfrm>
                    <a:prstGeom prst="rect">
                      <a:avLst/>
                    </a:prstGeom>
                    <a:noFill/>
                  </pic:spPr>
                </pic:pic>
              </a:graphicData>
            </a:graphic>
          </wp:inline>
        </w:drawing>
      </w:r>
    </w:p>
    <w:p w:rsidR="00FA54D2" w:rsidRPr="007F63DD" w:rsidRDefault="00FA54D2" w:rsidP="00FA54D2">
      <w:pPr>
        <w:pStyle w:val="EstiloTesis"/>
        <w:rPr>
          <w:b/>
        </w:rPr>
      </w:pPr>
      <w:r w:rsidRPr="007F63DD">
        <w:t>Figure 5. Contact angles exhibited for: (a) C</w:t>
      </w:r>
      <w:r w:rsidRPr="007F63DD">
        <w:rPr>
          <w:vertAlign w:val="subscript"/>
        </w:rPr>
        <w:t>1</w:t>
      </w:r>
      <w:r w:rsidRPr="007F63DD">
        <w:t>, (b) C</w:t>
      </w:r>
      <w:r w:rsidRPr="007F63DD">
        <w:rPr>
          <w:vertAlign w:val="subscript"/>
        </w:rPr>
        <w:t>3</w:t>
      </w:r>
      <w:r w:rsidRPr="007F63DD">
        <w:t xml:space="preserve"> and (c) AC.</w:t>
      </w:r>
    </w:p>
    <w:p w:rsidR="00FA54D2" w:rsidRPr="007F63DD" w:rsidRDefault="00FA54D2" w:rsidP="00FA54D2">
      <w:pPr>
        <w:pStyle w:val="EstiloTesis"/>
      </w:pPr>
    </w:p>
    <w:p w:rsidR="00FA54D2" w:rsidRPr="007F63DD" w:rsidRDefault="00FA54D2" w:rsidP="00FA54D2">
      <w:pPr>
        <w:pStyle w:val="EstiloTesis"/>
      </w:pPr>
      <w:r w:rsidRPr="007F63DD">
        <w:rPr>
          <w:noProof/>
          <w:lang w:val="es-ES" w:eastAsia="es-ES"/>
        </w:rPr>
        <w:lastRenderedPageBreak/>
        <w:drawing>
          <wp:inline distT="0" distB="0" distL="0" distR="0" wp14:anchorId="7BAD54DE" wp14:editId="439DCE9F">
            <wp:extent cx="3870960" cy="310896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8482" t="8387" r="22025" b="6069"/>
                    <a:stretch/>
                  </pic:blipFill>
                  <pic:spPr bwMode="auto">
                    <a:xfrm>
                      <a:off x="0" y="0"/>
                      <a:ext cx="3872753" cy="3110400"/>
                    </a:xfrm>
                    <a:prstGeom prst="rect">
                      <a:avLst/>
                    </a:prstGeom>
                    <a:noFill/>
                    <a:ln>
                      <a:noFill/>
                    </a:ln>
                    <a:extLst>
                      <a:ext uri="{53640926-AAD7-44D8-BBD7-CCE9431645EC}">
                        <a14:shadowObscured xmlns:a14="http://schemas.microsoft.com/office/drawing/2010/main"/>
                      </a:ext>
                    </a:extLst>
                  </pic:spPr>
                </pic:pic>
              </a:graphicData>
            </a:graphic>
          </wp:inline>
        </w:drawing>
      </w:r>
    </w:p>
    <w:p w:rsidR="00FA54D2" w:rsidRPr="007F63DD" w:rsidRDefault="00FA54D2" w:rsidP="00FA54D2">
      <w:pPr>
        <w:pStyle w:val="EstiloTesis"/>
        <w:rPr>
          <w:highlight w:val="yellow"/>
        </w:rPr>
      </w:pPr>
      <w:r w:rsidRPr="007F63DD">
        <w:t>Figure 6. HCHO conversion for carbon-TiO</w:t>
      </w:r>
      <w:r w:rsidRPr="007F63DD">
        <w:rPr>
          <w:vertAlign w:val="subscript"/>
        </w:rPr>
        <w:t>2</w:t>
      </w:r>
      <w:r w:rsidRPr="007F63DD">
        <w:t xml:space="preserve"> composites prepared by: (</w:t>
      </w:r>
      <w:r w:rsidRPr="007F63DD">
        <w:rPr>
          <w:noProof/>
          <w:lang w:val="es-ES" w:eastAsia="es-ES"/>
        </w:rPr>
        <w:drawing>
          <wp:inline distT="0" distB="0" distL="0" distR="0" wp14:anchorId="180C7AE9" wp14:editId="31D40B9F">
            <wp:extent cx="121920" cy="85090"/>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1920" cy="85090"/>
                    </a:xfrm>
                    <a:prstGeom prst="rect">
                      <a:avLst/>
                    </a:prstGeom>
                    <a:noFill/>
                  </pic:spPr>
                </pic:pic>
              </a:graphicData>
            </a:graphic>
          </wp:inline>
        </w:drawing>
      </w:r>
      <w:r w:rsidRPr="007F63DD">
        <w:t>) C</w:t>
      </w:r>
      <w:r w:rsidRPr="007F63DD">
        <w:rPr>
          <w:vertAlign w:val="subscript"/>
        </w:rPr>
        <w:t>x</w:t>
      </w:r>
      <w:r w:rsidRPr="007F63DD">
        <w:t>Ti-</w:t>
      </w:r>
      <w:r w:rsidRPr="007F63DD">
        <w:rPr>
          <w:i/>
        </w:rPr>
        <w:t xml:space="preserve">i </w:t>
      </w:r>
      <w:r w:rsidRPr="007F63DD">
        <w:t>(incipient wet impregnation) and (</w:t>
      </w:r>
      <w:r w:rsidRPr="007F63DD">
        <w:rPr>
          <w:noProof/>
          <w:lang w:val="es-ES" w:eastAsia="es-ES"/>
        </w:rPr>
        <w:drawing>
          <wp:inline distT="0" distB="0" distL="0" distR="0" wp14:anchorId="2ECE9779" wp14:editId="4695C616">
            <wp:extent cx="121920" cy="8509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1920" cy="85090"/>
                    </a:xfrm>
                    <a:prstGeom prst="rect">
                      <a:avLst/>
                    </a:prstGeom>
                    <a:noFill/>
                  </pic:spPr>
                </pic:pic>
              </a:graphicData>
            </a:graphic>
          </wp:inline>
        </w:drawing>
      </w:r>
      <w:r w:rsidRPr="007F63DD">
        <w:t>) C</w:t>
      </w:r>
      <w:r w:rsidRPr="007F63DD">
        <w:rPr>
          <w:vertAlign w:val="subscript"/>
        </w:rPr>
        <w:t>x</w:t>
      </w:r>
      <w:r w:rsidRPr="007F63DD">
        <w:t>Ti-</w:t>
      </w:r>
      <w:r w:rsidRPr="007F63DD">
        <w:rPr>
          <w:i/>
        </w:rPr>
        <w:t xml:space="preserve">m </w:t>
      </w:r>
      <w:r w:rsidRPr="007F63DD">
        <w:t>(mechanical mixing). Operation conditions: Q = 700 mL min</w:t>
      </w:r>
      <w:r w:rsidRPr="007F63DD">
        <w:rPr>
          <w:vertAlign w:val="superscript"/>
        </w:rPr>
        <w:t>-1</w:t>
      </w:r>
      <w:r w:rsidRPr="007F63DD">
        <w:t>, [HCHO] = 15 ppm, residence time t</w:t>
      </w:r>
      <w:r w:rsidRPr="007F63DD">
        <w:rPr>
          <w:i/>
        </w:rPr>
        <w:t>r</w:t>
      </w:r>
      <w:r w:rsidRPr="007F63DD">
        <w:t xml:space="preserve"> = 0.55 s, g</w:t>
      </w:r>
      <w:r w:rsidRPr="007F63DD">
        <w:rPr>
          <w:vertAlign w:val="subscript"/>
        </w:rPr>
        <w:t xml:space="preserve">catal. </w:t>
      </w:r>
      <w:r w:rsidRPr="007F63DD">
        <w:t>= 30 mg and irradiance I = 6.5 mW cm</w:t>
      </w:r>
      <w:r w:rsidRPr="007F63DD">
        <w:rPr>
          <w:vertAlign w:val="superscript"/>
        </w:rPr>
        <w:t>-2</w:t>
      </w:r>
      <w:r w:rsidRPr="007F63DD">
        <w:t xml:space="preserve">. </w:t>
      </w:r>
    </w:p>
    <w:p w:rsidR="00FA54D2" w:rsidRPr="007F63DD" w:rsidRDefault="00FA54D2" w:rsidP="00FA54D2">
      <w:pPr>
        <w:pStyle w:val="EstiloTesis"/>
      </w:pPr>
      <w:r w:rsidRPr="007F63DD">
        <w:rPr>
          <w:noProof/>
          <w:lang w:val="es-ES" w:eastAsia="es-ES"/>
        </w:rPr>
        <w:lastRenderedPageBreak/>
        <w:drawing>
          <wp:inline distT="0" distB="0" distL="0" distR="0" wp14:anchorId="7ADD1E9E" wp14:editId="0FEC916E">
            <wp:extent cx="4778924" cy="7641854"/>
            <wp:effectExtent l="0" t="0" r="3175" b="0"/>
            <wp:docPr id="24" name="Imagen 24" descr="C:\Users\admin\AppData\Local\Microsoft\Windows\INetCache\Content.Outlook\068MKD14\figure6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AppData\Local\Microsoft\Windows\INetCache\Content.Outlook\068MKD14\figure6 (002).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78936" cy="7641873"/>
                    </a:xfrm>
                    <a:prstGeom prst="rect">
                      <a:avLst/>
                    </a:prstGeom>
                    <a:noFill/>
                    <a:ln>
                      <a:noFill/>
                    </a:ln>
                  </pic:spPr>
                </pic:pic>
              </a:graphicData>
            </a:graphic>
          </wp:inline>
        </w:drawing>
      </w:r>
    </w:p>
    <w:p w:rsidR="00FA54D2" w:rsidRPr="007F63DD" w:rsidRDefault="00FA54D2" w:rsidP="00FA54D2">
      <w:pPr>
        <w:pStyle w:val="EstiloTesis"/>
      </w:pPr>
      <w:r w:rsidRPr="007F63DD">
        <w:t>Figure 7. SEM micrographs for C</w:t>
      </w:r>
      <w:r w:rsidRPr="007F63DD">
        <w:rPr>
          <w:vertAlign w:val="subscript"/>
        </w:rPr>
        <w:t>x</w:t>
      </w:r>
      <w:r w:rsidRPr="007F63DD">
        <w:t>Ti-</w:t>
      </w:r>
      <w:r w:rsidRPr="007F63DD">
        <w:rPr>
          <w:i/>
        </w:rPr>
        <w:t>y</w:t>
      </w:r>
      <w:r w:rsidRPr="007F63DD">
        <w:t xml:space="preserve"> hybrids prepared by different method: a, b) C</w:t>
      </w:r>
      <w:r w:rsidRPr="007F63DD">
        <w:rPr>
          <w:vertAlign w:val="subscript"/>
        </w:rPr>
        <w:t>1</w:t>
      </w:r>
      <w:r w:rsidRPr="007F63DD">
        <w:t>Ti-m and C</w:t>
      </w:r>
      <w:r w:rsidRPr="007F63DD">
        <w:rPr>
          <w:vertAlign w:val="subscript"/>
        </w:rPr>
        <w:t>1</w:t>
      </w:r>
      <w:r w:rsidRPr="007F63DD">
        <w:t>Ti-</w:t>
      </w:r>
      <w:r w:rsidRPr="007F63DD">
        <w:rPr>
          <w:i/>
        </w:rPr>
        <w:t>i</w:t>
      </w:r>
      <w:r w:rsidRPr="007F63DD">
        <w:t>; c, d) AcTi-</w:t>
      </w:r>
      <w:r w:rsidRPr="007F63DD">
        <w:rPr>
          <w:i/>
        </w:rPr>
        <w:t>m</w:t>
      </w:r>
      <w:r w:rsidRPr="007F63DD">
        <w:t>, AcTi-</w:t>
      </w:r>
      <w:r w:rsidRPr="007F63DD">
        <w:rPr>
          <w:i/>
        </w:rPr>
        <w:t xml:space="preserve">i; </w:t>
      </w:r>
      <w:r w:rsidRPr="007F63DD">
        <w:t xml:space="preserve"> d, e) C</w:t>
      </w:r>
      <w:r w:rsidRPr="007F63DD">
        <w:rPr>
          <w:vertAlign w:val="subscript"/>
        </w:rPr>
        <w:t>2</w:t>
      </w:r>
      <w:r w:rsidRPr="007F63DD">
        <w:t>Ti-</w:t>
      </w:r>
      <w:r w:rsidRPr="007F63DD">
        <w:rPr>
          <w:i/>
        </w:rPr>
        <w:t xml:space="preserve">m </w:t>
      </w:r>
      <w:r w:rsidRPr="007F63DD">
        <w:t>and C</w:t>
      </w:r>
      <w:r w:rsidRPr="007F63DD">
        <w:rPr>
          <w:vertAlign w:val="subscript"/>
        </w:rPr>
        <w:t>2</w:t>
      </w:r>
      <w:r w:rsidRPr="007F63DD">
        <w:t>Ti-</w:t>
      </w:r>
      <w:r w:rsidRPr="007F63DD">
        <w:rPr>
          <w:i/>
        </w:rPr>
        <w:t>i</w:t>
      </w:r>
      <w:r w:rsidRPr="007F63DD">
        <w:t xml:space="preserve"> and f, g) C</w:t>
      </w:r>
      <w:r w:rsidRPr="007F63DD">
        <w:rPr>
          <w:vertAlign w:val="subscript"/>
        </w:rPr>
        <w:t>3</w:t>
      </w:r>
      <w:r w:rsidRPr="007F63DD">
        <w:t>Ti-</w:t>
      </w:r>
      <w:r w:rsidRPr="007F63DD">
        <w:rPr>
          <w:i/>
        </w:rPr>
        <w:t>i</w:t>
      </w:r>
      <w:r w:rsidRPr="007F63DD">
        <w:t xml:space="preserve"> and b) C</w:t>
      </w:r>
      <w:r w:rsidRPr="007F63DD">
        <w:rPr>
          <w:vertAlign w:val="subscript"/>
        </w:rPr>
        <w:t>3</w:t>
      </w:r>
      <w:r w:rsidRPr="007F63DD">
        <w:t>Ti-</w:t>
      </w:r>
      <w:r w:rsidRPr="007F63DD">
        <w:rPr>
          <w:i/>
        </w:rPr>
        <w:t>m</w:t>
      </w:r>
      <w:r w:rsidRPr="007F63DD">
        <w:t>.</w:t>
      </w:r>
    </w:p>
    <w:p w:rsidR="00FA54D2" w:rsidRPr="007F63DD" w:rsidRDefault="00FA54D2" w:rsidP="00FA54D2">
      <w:pPr>
        <w:pStyle w:val="EstiloTesis"/>
      </w:pPr>
    </w:p>
    <w:p w:rsidR="00FA54D2" w:rsidRPr="007F63DD" w:rsidRDefault="00FA54D2" w:rsidP="00FA54D2">
      <w:pPr>
        <w:jc w:val="center"/>
        <w:rPr>
          <w:lang w:val="en-GB"/>
        </w:rPr>
      </w:pPr>
      <w:r w:rsidRPr="007F63DD">
        <w:rPr>
          <w:noProof/>
          <w:lang w:eastAsia="es-ES"/>
        </w:rPr>
        <w:lastRenderedPageBreak/>
        <mc:AlternateContent>
          <mc:Choice Requires="wps">
            <w:drawing>
              <wp:anchor distT="0" distB="0" distL="114300" distR="114300" simplePos="0" relativeHeight="251662336" behindDoc="0" locked="0" layoutInCell="1" allowOverlap="1" wp14:anchorId="0193F086" wp14:editId="237EE3B4">
                <wp:simplePos x="0" y="0"/>
                <wp:positionH relativeFrom="column">
                  <wp:posOffset>2294255</wp:posOffset>
                </wp:positionH>
                <wp:positionV relativeFrom="paragraph">
                  <wp:posOffset>1539240</wp:posOffset>
                </wp:positionV>
                <wp:extent cx="236220" cy="1403985"/>
                <wp:effectExtent l="0" t="0" r="0" b="0"/>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 cy="1403985"/>
                        </a:xfrm>
                        <a:prstGeom prst="rect">
                          <a:avLst/>
                        </a:prstGeom>
                        <a:noFill/>
                        <a:ln w="9525">
                          <a:noFill/>
                          <a:miter lim="800000"/>
                          <a:headEnd/>
                          <a:tailEnd/>
                        </a:ln>
                      </wps:spPr>
                      <wps:txbx>
                        <w:txbxContent>
                          <w:p w:rsidR="00FA54D2" w:rsidRDefault="00FA54D2" w:rsidP="00FA54D2">
                            <w: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193F086" id="_x0000_t202" coordsize="21600,21600" o:spt="202" path="m,l,21600r21600,l21600,xe">
                <v:stroke joinstyle="miter"/>
                <v:path gradientshapeok="t" o:connecttype="rect"/>
              </v:shapetype>
              <v:shape id="Cuadro de texto 2" o:spid="_x0000_s1026" type="#_x0000_t202" style="position:absolute;left:0;text-align:left;margin-left:180.65pt;margin-top:121.2pt;width:18.6pt;height:110.5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" filled="f" stroked="f">
                <v:textbox style="mso-fit-shape-to-text:t">
                  <w:txbxContent>
                    <w:p w:rsidR="00FA54D2" w:rsidRDefault="00FA54D2" w:rsidP="00FA54D2">
                      <w:r>
                        <w:t>a</w:t>
                      </w:r>
                    </w:p>
                  </w:txbxContent>
                </v:textbox>
              </v:shape>
            </w:pict>
          </mc:Fallback>
        </mc:AlternateContent>
      </w:r>
      <w:r w:rsidRPr="007F63DD">
        <w:rPr>
          <w:noProof/>
          <w:lang w:eastAsia="es-ES"/>
        </w:rPr>
        <mc:AlternateContent>
          <mc:Choice Requires="wps">
            <w:drawing>
              <wp:anchor distT="0" distB="0" distL="114300" distR="114300" simplePos="0" relativeHeight="251663360" behindDoc="0" locked="0" layoutInCell="1" allowOverlap="1" wp14:anchorId="55F22B82" wp14:editId="467C0BA1">
                <wp:simplePos x="0" y="0"/>
                <wp:positionH relativeFrom="column">
                  <wp:posOffset>4923155</wp:posOffset>
                </wp:positionH>
                <wp:positionV relativeFrom="paragraph">
                  <wp:posOffset>121920</wp:posOffset>
                </wp:positionV>
                <wp:extent cx="236220" cy="1403985"/>
                <wp:effectExtent l="0" t="0" r="0" b="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 cy="1403985"/>
                        </a:xfrm>
                        <a:prstGeom prst="rect">
                          <a:avLst/>
                        </a:prstGeom>
                        <a:noFill/>
                        <a:ln w="9525">
                          <a:noFill/>
                          <a:miter lim="800000"/>
                          <a:headEnd/>
                          <a:tailEnd/>
                        </a:ln>
                      </wps:spPr>
                      <wps:txbx>
                        <w:txbxContent>
                          <w:p w:rsidR="00FA54D2" w:rsidRDefault="00FA54D2" w:rsidP="00FA54D2">
                            <w: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F22B82" id="_x0000_s1027" type="#_x0000_t202" style="position:absolute;left:0;text-align:left;margin-left:387.65pt;margin-top:9.6pt;width:18.6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" filled="f" stroked="f">
                <v:textbox style="mso-fit-shape-to-text:t">
                  <w:txbxContent>
                    <w:p w:rsidR="00FA54D2" w:rsidRDefault="00FA54D2" w:rsidP="00FA54D2">
                      <w:r>
                        <w:t>b</w:t>
                      </w:r>
                    </w:p>
                  </w:txbxContent>
                </v:textbox>
              </v:shape>
            </w:pict>
          </mc:Fallback>
        </mc:AlternateContent>
      </w:r>
      <w:r w:rsidRPr="007F63DD">
        <w:rPr>
          <w:noProof/>
          <w:lang w:eastAsia="es-ES"/>
        </w:rPr>
        <w:drawing>
          <wp:inline distT="0" distB="0" distL="0" distR="0" wp14:anchorId="1FD70924" wp14:editId="178661E7">
            <wp:extent cx="2546290" cy="2110740"/>
            <wp:effectExtent l="0" t="0" r="6985"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5478" t="6437" r="10818"/>
                    <a:stretch/>
                  </pic:blipFill>
                  <pic:spPr bwMode="auto">
                    <a:xfrm>
                      <a:off x="0" y="0"/>
                      <a:ext cx="2547469" cy="2111718"/>
                    </a:xfrm>
                    <a:prstGeom prst="rect">
                      <a:avLst/>
                    </a:prstGeom>
                    <a:noFill/>
                    <a:ln>
                      <a:noFill/>
                    </a:ln>
                    <a:extLst>
                      <a:ext uri="{53640926-AAD7-44D8-BBD7-CCE9431645EC}">
                        <a14:shadowObscured xmlns:a14="http://schemas.microsoft.com/office/drawing/2010/main"/>
                      </a:ext>
                    </a:extLst>
                  </pic:spPr>
                </pic:pic>
              </a:graphicData>
            </a:graphic>
          </wp:inline>
        </w:drawing>
      </w:r>
      <w:r w:rsidRPr="007F63DD">
        <w:rPr>
          <w:noProof/>
          <w:lang w:eastAsia="es-ES"/>
        </w:rPr>
        <w:drawing>
          <wp:inline distT="0" distB="0" distL="0" distR="0" wp14:anchorId="19669AC2" wp14:editId="104BD507">
            <wp:extent cx="2551553" cy="2164080"/>
            <wp:effectExtent l="0" t="0" r="1270" b="762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4195" t="4427" r="12159"/>
                    <a:stretch/>
                  </pic:blipFill>
                  <pic:spPr bwMode="auto">
                    <a:xfrm>
                      <a:off x="0" y="0"/>
                      <a:ext cx="2551877" cy="2164355"/>
                    </a:xfrm>
                    <a:prstGeom prst="rect">
                      <a:avLst/>
                    </a:prstGeom>
                    <a:noFill/>
                    <a:ln>
                      <a:noFill/>
                    </a:ln>
                    <a:extLst>
                      <a:ext uri="{53640926-AAD7-44D8-BBD7-CCE9431645EC}">
                        <a14:shadowObscured xmlns:a14="http://schemas.microsoft.com/office/drawing/2010/main"/>
                      </a:ext>
                    </a:extLst>
                  </pic:spPr>
                </pic:pic>
              </a:graphicData>
            </a:graphic>
          </wp:inline>
        </w:drawing>
      </w:r>
    </w:p>
    <w:p w:rsidR="00FA54D2" w:rsidRPr="007F63DD" w:rsidRDefault="00FA54D2" w:rsidP="00FA54D2">
      <w:pPr>
        <w:rPr>
          <w:lang w:val="en-GB"/>
        </w:rPr>
      </w:pPr>
    </w:p>
    <w:p w:rsidR="00FA54D2" w:rsidRPr="007F63DD" w:rsidRDefault="00FA54D2" w:rsidP="00FA54D2">
      <w:pPr>
        <w:pStyle w:val="EstiloTesis"/>
      </w:pPr>
      <w:r w:rsidRPr="007F63DD">
        <w:t>Figure 8. Kubelka-Munk spectra for: (a) carbonaceous materials and b) C</w:t>
      </w:r>
      <w:r w:rsidRPr="007F63DD">
        <w:rPr>
          <w:vertAlign w:val="subscript"/>
        </w:rPr>
        <w:t>x</w:t>
      </w:r>
      <w:r w:rsidRPr="007F63DD">
        <w:t>Ti-</w:t>
      </w:r>
      <w:r w:rsidRPr="007F63DD">
        <w:rPr>
          <w:i/>
        </w:rPr>
        <w:t>m</w:t>
      </w:r>
      <w:r w:rsidRPr="007F63DD">
        <w:t xml:space="preserve"> composites prepared by mechanical mixing (b).</w:t>
      </w:r>
    </w:p>
    <w:p w:rsidR="00FA54D2" w:rsidRPr="007F63DD" w:rsidRDefault="00FA54D2" w:rsidP="00FA54D2">
      <w:pPr>
        <w:pStyle w:val="EstiloTesis"/>
      </w:pPr>
    </w:p>
    <w:p w:rsidR="00FA54D2" w:rsidRPr="007F63DD" w:rsidRDefault="00FA54D2" w:rsidP="00FA54D2">
      <w:pPr>
        <w:spacing w:after="160" w:line="259" w:lineRule="auto"/>
        <w:rPr>
          <w:rFonts w:ascii="Times New Roman" w:hAnsi="Times New Roman" w:cs="Times New Roman"/>
          <w:lang w:val="en-GB"/>
        </w:rPr>
      </w:pPr>
      <w:r w:rsidRPr="007F63DD">
        <w:rPr>
          <w:lang w:val="en-GB"/>
        </w:rPr>
        <w:br w:type="page"/>
      </w:r>
    </w:p>
    <w:p w:rsidR="00FA54D2" w:rsidRPr="007F63DD" w:rsidRDefault="00FA54D2" w:rsidP="00FA54D2">
      <w:pPr>
        <w:pStyle w:val="Textosinformato"/>
        <w:jc w:val="center"/>
        <w:rPr>
          <w:lang w:val="en-GB"/>
        </w:rPr>
      </w:pPr>
      <w:r w:rsidRPr="007F63DD">
        <w:rPr>
          <w:noProof/>
          <w:lang w:eastAsia="es-ES"/>
        </w:rPr>
        <w:lastRenderedPageBreak/>
        <w:drawing>
          <wp:inline distT="0" distB="0" distL="0" distR="0" wp14:anchorId="48382B22" wp14:editId="2DDB9D08">
            <wp:extent cx="5182787" cy="1727595"/>
            <wp:effectExtent l="0" t="0" r="0" b="6350"/>
            <wp:docPr id="23" name="Imagen 23" descr="C:\Users\admin\AppData\Local\Microsoft\Windows\INetCache\Content.Outlook\068MKD14\Figure7-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AppData\Local\Microsoft\Windows\INetCache\Content.Outlook\068MKD14\Figure7-B.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06507" cy="1735502"/>
                    </a:xfrm>
                    <a:prstGeom prst="rect">
                      <a:avLst/>
                    </a:prstGeom>
                    <a:noFill/>
                    <a:ln>
                      <a:noFill/>
                    </a:ln>
                  </pic:spPr>
                </pic:pic>
              </a:graphicData>
            </a:graphic>
          </wp:inline>
        </w:drawing>
      </w:r>
    </w:p>
    <w:p w:rsidR="00FA54D2" w:rsidRPr="007F63DD" w:rsidRDefault="00FA54D2" w:rsidP="00FA54D2">
      <w:pPr>
        <w:pStyle w:val="Textosinformato"/>
        <w:ind w:left="1068"/>
        <w:jc w:val="both"/>
        <w:rPr>
          <w:lang w:val="en-GB"/>
        </w:rPr>
      </w:pPr>
    </w:p>
    <w:p w:rsidR="00FA54D2" w:rsidRPr="007F63DD" w:rsidRDefault="00FA54D2" w:rsidP="00FA54D2">
      <w:pPr>
        <w:pStyle w:val="Textosinformato"/>
        <w:rPr>
          <w:rFonts w:ascii="Times New Roman" w:hAnsi="Times New Roman" w:cs="Times New Roman"/>
          <w:sz w:val="24"/>
          <w:szCs w:val="24"/>
          <w:lang w:val="en-GB"/>
        </w:rPr>
      </w:pPr>
      <w:r w:rsidRPr="007F63DD">
        <w:rPr>
          <w:rFonts w:ascii="Times New Roman" w:hAnsi="Times New Roman" w:cs="Times New Roman"/>
          <w:sz w:val="24"/>
          <w:szCs w:val="24"/>
          <w:lang w:val="en-GB"/>
        </w:rPr>
        <w:t>Figure 9. HRTEM micrographs for a)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i</w:t>
      </w:r>
      <w:r w:rsidRPr="007F63DD">
        <w:rPr>
          <w:rFonts w:ascii="Times New Roman" w:hAnsi="Times New Roman" w:cs="Times New Roman"/>
          <w:sz w:val="24"/>
          <w:szCs w:val="24"/>
          <w:lang w:val="en-GB"/>
        </w:rPr>
        <w:t xml:space="preserve"> and b) C</w:t>
      </w:r>
      <w:r w:rsidRPr="007F63DD">
        <w:rPr>
          <w:rFonts w:ascii="Times New Roman" w:hAnsi="Times New Roman" w:cs="Times New Roman"/>
          <w:sz w:val="24"/>
          <w:szCs w:val="24"/>
          <w:vertAlign w:val="subscript"/>
          <w:lang w:val="en-GB"/>
        </w:rPr>
        <w:t>2</w:t>
      </w:r>
      <w:r w:rsidRPr="007F63DD">
        <w:rPr>
          <w:rFonts w:ascii="Times New Roman" w:hAnsi="Times New Roman" w:cs="Times New Roman"/>
          <w:sz w:val="24"/>
          <w:szCs w:val="24"/>
          <w:lang w:val="en-GB"/>
        </w:rPr>
        <w:t>Ti-</w:t>
      </w:r>
      <w:r w:rsidRPr="007F63DD">
        <w:rPr>
          <w:rFonts w:ascii="Times New Roman" w:hAnsi="Times New Roman" w:cs="Times New Roman"/>
          <w:i/>
          <w:sz w:val="24"/>
          <w:szCs w:val="24"/>
          <w:lang w:val="en-GB"/>
        </w:rPr>
        <w:t>m</w:t>
      </w:r>
      <w:r w:rsidRPr="007F63DD">
        <w:rPr>
          <w:rFonts w:ascii="Times New Roman" w:hAnsi="Times New Roman" w:cs="Times New Roman"/>
          <w:sz w:val="24"/>
          <w:szCs w:val="24"/>
          <w:lang w:val="en-GB"/>
        </w:rPr>
        <w:t>.</w:t>
      </w:r>
    </w:p>
    <w:p w:rsidR="00FA54D2" w:rsidRPr="007F63DD" w:rsidRDefault="00FA54D2" w:rsidP="00FA54D2">
      <w:pPr>
        <w:pStyle w:val="Textosinformato"/>
        <w:rPr>
          <w:lang w:val="en-GB"/>
        </w:rPr>
      </w:pPr>
    </w:p>
    <w:p w:rsidR="00FA54D2" w:rsidRPr="007F63DD" w:rsidRDefault="00FA54D2" w:rsidP="00FA54D2">
      <w:pPr>
        <w:pStyle w:val="Textosinformato"/>
        <w:ind w:left="1068"/>
        <w:jc w:val="both"/>
        <w:rPr>
          <w:lang w:val="en-GB"/>
        </w:rPr>
      </w:pPr>
    </w:p>
    <w:p w:rsidR="00FA54D2" w:rsidRPr="007F63DD" w:rsidRDefault="00FA54D2" w:rsidP="00FA54D2">
      <w:pPr>
        <w:pStyle w:val="EstiloTesis"/>
        <w:jc w:val="center"/>
      </w:pPr>
      <w:r w:rsidRPr="007F63DD">
        <w:rPr>
          <w:noProof/>
          <w:lang w:val="es-ES" w:eastAsia="es-ES"/>
        </w:rPr>
        <w:drawing>
          <wp:inline distT="0" distB="0" distL="0" distR="0" wp14:anchorId="5D24020A" wp14:editId="496F1412">
            <wp:extent cx="3676042" cy="2757831"/>
            <wp:effectExtent l="0" t="0" r="635" b="444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73746" cy="2756109"/>
                    </a:xfrm>
                    <a:prstGeom prst="rect">
                      <a:avLst/>
                    </a:prstGeom>
                    <a:noFill/>
                  </pic:spPr>
                </pic:pic>
              </a:graphicData>
            </a:graphic>
          </wp:inline>
        </w:drawing>
      </w:r>
    </w:p>
    <w:p w:rsidR="00FA54D2" w:rsidRPr="007F63DD" w:rsidRDefault="00FA54D2" w:rsidP="00FA54D2">
      <w:pPr>
        <w:pStyle w:val="EstiloTesis"/>
      </w:pPr>
      <w:r w:rsidRPr="007F63DD">
        <w:t>Figure 10. Schema of the TiO</w:t>
      </w:r>
      <w:r w:rsidRPr="007F63DD">
        <w:rPr>
          <w:vertAlign w:val="subscript"/>
        </w:rPr>
        <w:t>2</w:t>
      </w:r>
      <w:r w:rsidRPr="007F63DD">
        <w:t xml:space="preserve"> distribution and photons adsorption, according to the preparation method: a) C</w:t>
      </w:r>
      <w:r w:rsidRPr="007F63DD">
        <w:rPr>
          <w:vertAlign w:val="subscript"/>
        </w:rPr>
        <w:t>x</w:t>
      </w:r>
      <w:r w:rsidRPr="007F63DD">
        <w:t>Ti-</w:t>
      </w:r>
      <w:r w:rsidRPr="007F63DD">
        <w:rPr>
          <w:i/>
        </w:rPr>
        <w:t>i</w:t>
      </w:r>
      <w:r w:rsidRPr="007F63DD">
        <w:t xml:space="preserve"> and b) C</w:t>
      </w:r>
      <w:r w:rsidRPr="007F63DD">
        <w:rPr>
          <w:vertAlign w:val="subscript"/>
        </w:rPr>
        <w:t>x</w:t>
      </w:r>
      <w:r w:rsidRPr="007F63DD">
        <w:t>Ti-</w:t>
      </w:r>
      <w:r w:rsidRPr="007F63DD">
        <w:rPr>
          <w:i/>
        </w:rPr>
        <w:t>m</w:t>
      </w:r>
      <w:r w:rsidRPr="007F63DD">
        <w:t xml:space="preserve">. </w:t>
      </w:r>
    </w:p>
    <w:p w:rsidR="00FA54D2" w:rsidRPr="007F63DD" w:rsidRDefault="00FA54D2" w:rsidP="00FA54D2">
      <w:pPr>
        <w:pStyle w:val="EstiloTesis"/>
      </w:pPr>
    </w:p>
    <w:p w:rsidR="00FA54D2" w:rsidRPr="007F63DD" w:rsidRDefault="00FA54D2" w:rsidP="00FA54D2">
      <w:pPr>
        <w:pStyle w:val="EstiloTesis"/>
      </w:pPr>
      <w:r w:rsidRPr="007F63DD">
        <w:rPr>
          <w:noProof/>
          <w:lang w:val="es-ES" w:eastAsia="es-ES"/>
        </w:rPr>
        <w:lastRenderedPageBreak/>
        <w:drawing>
          <wp:inline distT="0" distB="0" distL="0" distR="0" wp14:anchorId="4561D998" wp14:editId="55E57B01">
            <wp:extent cx="4198925" cy="318732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6234" t="10412" r="19674" b="3471"/>
                    <a:stretch/>
                  </pic:blipFill>
                  <pic:spPr bwMode="auto">
                    <a:xfrm>
                      <a:off x="0" y="0"/>
                      <a:ext cx="4207147" cy="3193569"/>
                    </a:xfrm>
                    <a:prstGeom prst="rect">
                      <a:avLst/>
                    </a:prstGeom>
                    <a:noFill/>
                    <a:ln>
                      <a:noFill/>
                    </a:ln>
                    <a:extLst>
                      <a:ext uri="{53640926-AAD7-44D8-BBD7-CCE9431645EC}">
                        <a14:shadowObscured xmlns:a14="http://schemas.microsoft.com/office/drawing/2010/main"/>
                      </a:ext>
                    </a:extLst>
                  </pic:spPr>
                </pic:pic>
              </a:graphicData>
            </a:graphic>
          </wp:inline>
        </w:drawing>
      </w:r>
    </w:p>
    <w:p w:rsidR="00FA54D2" w:rsidRPr="007F63DD" w:rsidRDefault="00FA54D2" w:rsidP="00FA54D2">
      <w:pPr>
        <w:pStyle w:val="EstiloTesis"/>
      </w:pPr>
      <w:r w:rsidRPr="007F63DD">
        <w:t>Figure 11. HCHO photodegradation rate for C</w:t>
      </w:r>
      <w:r w:rsidRPr="007F63DD">
        <w:rPr>
          <w:vertAlign w:val="subscript"/>
        </w:rPr>
        <w:t>x</w:t>
      </w:r>
      <w:r w:rsidRPr="007F63DD">
        <w:t>Ti-</w:t>
      </w:r>
      <w:r w:rsidRPr="007F63DD">
        <w:rPr>
          <w:i/>
        </w:rPr>
        <w:t>m</w:t>
      </w:r>
      <w:r w:rsidRPr="007F63DD">
        <w:t xml:space="preserve"> composites. Operation conditions: [HCHO] = 15 ppm, residence time </w:t>
      </w:r>
      <w:r w:rsidRPr="007F63DD">
        <w:rPr>
          <w:i/>
        </w:rPr>
        <w:t>tr</w:t>
      </w:r>
      <w:r w:rsidRPr="007F63DD">
        <w:t xml:space="preserve"> = 0.77-0.43 s. </w:t>
      </w:r>
    </w:p>
    <w:p w:rsidR="00FA54D2" w:rsidRPr="007F63DD" w:rsidRDefault="00FA54D2" w:rsidP="00FA54D2">
      <w:pPr>
        <w:spacing w:after="160" w:line="259" w:lineRule="auto"/>
        <w:rPr>
          <w:rFonts w:ascii="Times New Roman" w:hAnsi="Times New Roman" w:cs="Times New Roman"/>
          <w:lang w:val="en-GB"/>
        </w:rPr>
      </w:pPr>
      <w:r w:rsidRPr="007F63DD">
        <w:rPr>
          <w:lang w:val="en-GB"/>
        </w:rPr>
        <w:br w:type="page"/>
      </w:r>
    </w:p>
    <w:p w:rsidR="00FA54D2" w:rsidRPr="007F63DD" w:rsidRDefault="00FA54D2" w:rsidP="00FA54D2">
      <w:pPr>
        <w:pStyle w:val="EstiloTesis"/>
        <w:jc w:val="center"/>
      </w:pPr>
      <w:r w:rsidRPr="007F63DD">
        <w:rPr>
          <w:noProof/>
          <w:highlight w:val="yellow"/>
          <w:lang w:val="es-ES" w:eastAsia="es-ES"/>
        </w:rPr>
        <w:lastRenderedPageBreak/>
        <mc:AlternateContent>
          <mc:Choice Requires="wps">
            <w:drawing>
              <wp:anchor distT="0" distB="0" distL="114300" distR="114300" simplePos="0" relativeHeight="251659264" behindDoc="0" locked="0" layoutInCell="1" allowOverlap="1" wp14:anchorId="5FACA695" wp14:editId="7D7F9E6E">
                <wp:simplePos x="0" y="0"/>
                <wp:positionH relativeFrom="column">
                  <wp:posOffset>1367790</wp:posOffset>
                </wp:positionH>
                <wp:positionV relativeFrom="paragraph">
                  <wp:posOffset>90805</wp:posOffset>
                </wp:positionV>
                <wp:extent cx="409575" cy="381000"/>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 cy="381000"/>
                        </a:xfrm>
                        <a:prstGeom prst="rect">
                          <a:avLst/>
                        </a:prstGeom>
                        <a:noFill/>
                        <a:ln w="9525">
                          <a:noFill/>
                          <a:miter lim="800000"/>
                          <a:headEnd/>
                          <a:tailEnd/>
                        </a:ln>
                      </wps:spPr>
                      <wps:txbx>
                        <w:txbxContent>
                          <w:p w:rsidR="00FA54D2" w:rsidRPr="000F25A5" w:rsidRDefault="00FA54D2" w:rsidP="00FA54D2">
                            <w:pPr>
                              <w:rPr>
                                <w:sz w:val="32"/>
                                <w:szCs w:val="32"/>
                              </w:rPr>
                            </w:pPr>
                            <w:r w:rsidRPr="000F25A5">
                              <w:rPr>
                                <w:sz w:val="32"/>
                                <w:szCs w:val="32"/>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ACA695" id="_x0000_s1028" type="#_x0000_t202" style="position:absolute;left:0;text-align:left;margin-left:107.7pt;margin-top:7.15pt;width:32.25pt;height:3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" filled="f" stroked="f">
                <v:textbox>
                  <w:txbxContent>
                    <w:p w:rsidR="00FA54D2" w:rsidRPr="000F25A5" w:rsidRDefault="00FA54D2" w:rsidP="00FA54D2">
                      <w:pPr>
                        <w:rPr>
                          <w:sz w:val="32"/>
                          <w:szCs w:val="32"/>
                        </w:rPr>
                      </w:pPr>
                      <w:r w:rsidRPr="000F25A5">
                        <w:rPr>
                          <w:sz w:val="32"/>
                          <w:szCs w:val="32"/>
                        </w:rPr>
                        <w:t>a</w:t>
                      </w:r>
                    </w:p>
                  </w:txbxContent>
                </v:textbox>
              </v:shape>
            </w:pict>
          </mc:Fallback>
        </mc:AlternateContent>
      </w:r>
      <w:r w:rsidRPr="007F63DD">
        <w:rPr>
          <w:noProof/>
          <w:lang w:val="es-ES" w:eastAsia="es-ES"/>
        </w:rPr>
        <w:drawing>
          <wp:inline distT="0" distB="0" distL="0" distR="0" wp14:anchorId="23EDEF47" wp14:editId="7A014072">
            <wp:extent cx="4226943" cy="3036131"/>
            <wp:effectExtent l="0" t="0" r="254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3340" r="5751"/>
                    <a:stretch/>
                  </pic:blipFill>
                  <pic:spPr bwMode="auto">
                    <a:xfrm>
                      <a:off x="0" y="0"/>
                      <a:ext cx="4225090" cy="3034800"/>
                    </a:xfrm>
                    <a:prstGeom prst="rect">
                      <a:avLst/>
                    </a:prstGeom>
                    <a:noFill/>
                    <a:ln>
                      <a:noFill/>
                    </a:ln>
                    <a:extLst>
                      <a:ext uri="{53640926-AAD7-44D8-BBD7-CCE9431645EC}">
                        <a14:shadowObscured xmlns:a14="http://schemas.microsoft.com/office/drawing/2010/main"/>
                      </a:ext>
                    </a:extLst>
                  </pic:spPr>
                </pic:pic>
              </a:graphicData>
            </a:graphic>
          </wp:inline>
        </w:drawing>
      </w:r>
    </w:p>
    <w:p w:rsidR="00FA54D2" w:rsidRPr="007F63DD" w:rsidRDefault="00FA54D2" w:rsidP="00FA54D2">
      <w:pPr>
        <w:pStyle w:val="EstiloTesis"/>
        <w:jc w:val="center"/>
      </w:pPr>
      <w:r w:rsidRPr="007F63DD">
        <w:rPr>
          <w:noProof/>
          <w:highlight w:val="yellow"/>
          <w:lang w:val="es-ES" w:eastAsia="es-ES"/>
        </w:rPr>
        <mc:AlternateContent>
          <mc:Choice Requires="wps">
            <w:drawing>
              <wp:anchor distT="0" distB="0" distL="114300" distR="114300" simplePos="0" relativeHeight="251660288" behindDoc="0" locked="0" layoutInCell="1" allowOverlap="1" wp14:anchorId="1D124476" wp14:editId="60D91DD6">
                <wp:simplePos x="0" y="0"/>
                <wp:positionH relativeFrom="column">
                  <wp:posOffset>1443990</wp:posOffset>
                </wp:positionH>
                <wp:positionV relativeFrom="paragraph">
                  <wp:posOffset>229235</wp:posOffset>
                </wp:positionV>
                <wp:extent cx="409575" cy="361950"/>
                <wp:effectExtent l="0" t="0" r="0" b="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 cy="361950"/>
                        </a:xfrm>
                        <a:prstGeom prst="rect">
                          <a:avLst/>
                        </a:prstGeom>
                        <a:noFill/>
                        <a:ln w="9525">
                          <a:noFill/>
                          <a:miter lim="800000"/>
                          <a:headEnd/>
                          <a:tailEnd/>
                        </a:ln>
                      </wps:spPr>
                      <wps:txbx>
                        <w:txbxContent>
                          <w:p w:rsidR="00FA54D2" w:rsidRPr="000F25A5" w:rsidRDefault="00FA54D2" w:rsidP="00FA54D2">
                            <w:pPr>
                              <w:rPr>
                                <w:sz w:val="32"/>
                                <w:szCs w:val="32"/>
                              </w:rPr>
                            </w:pPr>
                            <w:r w:rsidRPr="000F25A5">
                              <w:rPr>
                                <w:sz w:val="32"/>
                                <w:szCs w:val="32"/>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124476" id="_x0000_s1029" type="#_x0000_t202" style="position:absolute;left:0;text-align:left;margin-left:113.7pt;margin-top:18.05pt;width:32.25pt;height: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" filled="f" stroked="f">
                <v:textbox>
                  <w:txbxContent>
                    <w:p w:rsidR="00FA54D2" w:rsidRPr="000F25A5" w:rsidRDefault="00FA54D2" w:rsidP="00FA54D2">
                      <w:pPr>
                        <w:rPr>
                          <w:sz w:val="32"/>
                          <w:szCs w:val="32"/>
                        </w:rPr>
                      </w:pPr>
                      <w:r w:rsidRPr="000F25A5">
                        <w:rPr>
                          <w:sz w:val="32"/>
                          <w:szCs w:val="32"/>
                        </w:rPr>
                        <w:t>b</w:t>
                      </w:r>
                    </w:p>
                  </w:txbxContent>
                </v:textbox>
              </v:shape>
            </w:pict>
          </mc:Fallback>
        </mc:AlternateContent>
      </w:r>
      <w:r w:rsidRPr="007F63DD">
        <w:rPr>
          <w:noProof/>
          <w:lang w:val="es-ES" w:eastAsia="es-ES"/>
        </w:rPr>
        <w:drawing>
          <wp:inline distT="0" distB="0" distL="0" distR="0" wp14:anchorId="045A72B6" wp14:editId="1CEF6D09">
            <wp:extent cx="3848400" cy="30492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13271" r="4249"/>
                    <a:stretch/>
                  </pic:blipFill>
                  <pic:spPr bwMode="auto">
                    <a:xfrm>
                      <a:off x="0" y="0"/>
                      <a:ext cx="3848400" cy="3049200"/>
                    </a:xfrm>
                    <a:prstGeom prst="rect">
                      <a:avLst/>
                    </a:prstGeom>
                    <a:noFill/>
                    <a:ln>
                      <a:noFill/>
                    </a:ln>
                    <a:extLst>
                      <a:ext uri="{53640926-AAD7-44D8-BBD7-CCE9431645EC}">
                        <a14:shadowObscured xmlns:a14="http://schemas.microsoft.com/office/drawing/2010/main"/>
                      </a:ext>
                    </a:extLst>
                  </pic:spPr>
                </pic:pic>
              </a:graphicData>
            </a:graphic>
          </wp:inline>
        </w:drawing>
      </w:r>
    </w:p>
    <w:p w:rsidR="00FA54D2" w:rsidRPr="007F63DD" w:rsidRDefault="00FA54D2" w:rsidP="00FA54D2">
      <w:pPr>
        <w:jc w:val="both"/>
        <w:rPr>
          <w:rFonts w:ascii="Times New Roman" w:hAnsi="Times New Roman" w:cs="Times New Roman"/>
          <w:lang w:val="en-GB"/>
        </w:rPr>
      </w:pPr>
      <w:r w:rsidRPr="007F63DD">
        <w:rPr>
          <w:rFonts w:ascii="Times New Roman" w:hAnsi="Times New Roman" w:cs="Times New Roman"/>
          <w:lang w:val="en-GB"/>
        </w:rPr>
        <w:t>Figure 12. a) C</w:t>
      </w:r>
      <w:r w:rsidRPr="007F63DD">
        <w:rPr>
          <w:rFonts w:ascii="Times New Roman" w:hAnsi="Times New Roman" w:cs="Times New Roman"/>
          <w:vertAlign w:val="subscript"/>
          <w:lang w:val="en-GB"/>
        </w:rPr>
        <w:t>2</w:t>
      </w:r>
      <w:r w:rsidRPr="007F63DD">
        <w:rPr>
          <w:rFonts w:ascii="Times New Roman" w:hAnsi="Times New Roman" w:cs="Times New Roman"/>
          <w:lang w:val="en-GB"/>
        </w:rPr>
        <w:t>HCl</w:t>
      </w:r>
      <w:r w:rsidRPr="007F63DD">
        <w:rPr>
          <w:rFonts w:ascii="Times New Roman" w:hAnsi="Times New Roman" w:cs="Times New Roman"/>
          <w:vertAlign w:val="subscript"/>
          <w:lang w:val="en-GB"/>
        </w:rPr>
        <w:t>3</w:t>
      </w:r>
      <w:r w:rsidRPr="007F63DD">
        <w:rPr>
          <w:rFonts w:ascii="Times New Roman" w:hAnsi="Times New Roman" w:cs="Times New Roman"/>
          <w:lang w:val="en-GB"/>
        </w:rPr>
        <w:t xml:space="preserve"> photodegradation rate (</w:t>
      </w:r>
      <w:r w:rsidRPr="007F63DD">
        <w:rPr>
          <w:rFonts w:ascii="Times New Roman" w:hAnsi="Times New Roman" w:cs="Times New Roman"/>
          <w:lang w:val="en-GB"/>
        </w:rPr>
        <w:sym w:font="Wingdings 3" w:char="F070"/>
      </w:r>
      <w:r w:rsidRPr="007F63DD">
        <w:rPr>
          <w:rFonts w:ascii="Times New Roman" w:hAnsi="Times New Roman" w:cs="Times New Roman"/>
          <w:lang w:val="en-GB"/>
        </w:rPr>
        <w:t>), CO</w:t>
      </w:r>
      <w:r w:rsidRPr="007F63DD">
        <w:rPr>
          <w:rFonts w:ascii="Times New Roman" w:hAnsi="Times New Roman" w:cs="Times New Roman"/>
          <w:vertAlign w:val="subscript"/>
          <w:lang w:val="en-GB"/>
        </w:rPr>
        <w:t>2</w:t>
      </w:r>
      <w:r w:rsidRPr="007F63DD">
        <w:rPr>
          <w:rFonts w:ascii="Times New Roman" w:hAnsi="Times New Roman" w:cs="Times New Roman"/>
          <w:lang w:val="en-GB"/>
        </w:rPr>
        <w:t xml:space="preserve"> (</w:t>
      </w:r>
      <w:r w:rsidRPr="007F63DD">
        <w:rPr>
          <w:noProof/>
          <w:lang w:eastAsia="es-ES"/>
        </w:rPr>
        <w:drawing>
          <wp:inline distT="0" distB="0" distL="0" distR="0" wp14:anchorId="2836BF99" wp14:editId="57611571">
            <wp:extent cx="121920" cy="8509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duotone>
                        <a:schemeClr val="accent5">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21920" cy="85090"/>
                    </a:xfrm>
                    <a:prstGeom prst="rect">
                      <a:avLst/>
                    </a:prstGeom>
                    <a:solidFill>
                      <a:schemeClr val="accent5"/>
                    </a:solidFill>
                  </pic:spPr>
                </pic:pic>
              </a:graphicData>
            </a:graphic>
          </wp:inline>
        </w:drawing>
      </w:r>
      <w:r w:rsidRPr="007F63DD">
        <w:rPr>
          <w:rFonts w:ascii="Times New Roman" w:hAnsi="Times New Roman" w:cs="Times New Roman"/>
          <w:lang w:val="en-GB"/>
        </w:rPr>
        <w:t>) and COCl</w:t>
      </w:r>
      <w:r w:rsidRPr="007F63DD">
        <w:rPr>
          <w:rFonts w:ascii="Times New Roman" w:hAnsi="Times New Roman" w:cs="Times New Roman"/>
          <w:vertAlign w:val="subscript"/>
          <w:lang w:val="en-GB"/>
        </w:rPr>
        <w:t>2</w:t>
      </w:r>
      <w:r w:rsidRPr="007F63DD">
        <w:rPr>
          <w:rFonts w:ascii="Times New Roman" w:hAnsi="Times New Roman" w:cs="Times New Roman"/>
          <w:lang w:val="en-GB"/>
        </w:rPr>
        <w:t xml:space="preserve"> (</w:t>
      </w:r>
      <w:r w:rsidRPr="007F63DD">
        <w:rPr>
          <w:noProof/>
          <w:lang w:eastAsia="es-ES"/>
        </w:rPr>
        <w:drawing>
          <wp:inline distT="0" distB="0" distL="0" distR="0" wp14:anchorId="4280671E" wp14:editId="5300C649">
            <wp:extent cx="121920" cy="8509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duotone>
                        <a:schemeClr val="accent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21920" cy="85090"/>
                    </a:xfrm>
                    <a:prstGeom prst="rect">
                      <a:avLst/>
                    </a:prstGeom>
                    <a:solidFill>
                      <a:srgbClr val="FFFF00"/>
                    </a:solidFill>
                  </pic:spPr>
                </pic:pic>
              </a:graphicData>
            </a:graphic>
          </wp:inline>
        </w:drawing>
      </w:r>
      <w:r w:rsidRPr="007F63DD">
        <w:rPr>
          <w:rFonts w:ascii="Times New Roman" w:hAnsi="Times New Roman" w:cs="Times New Roman"/>
          <w:lang w:val="en-US"/>
        </w:rPr>
        <w:t>)</w:t>
      </w:r>
      <w:r w:rsidRPr="007F63DD">
        <w:rPr>
          <w:rFonts w:ascii="Times New Roman" w:hAnsi="Times New Roman" w:cs="Times New Roman"/>
          <w:lang w:val="en-GB"/>
        </w:rPr>
        <w:t xml:space="preserve"> selectivity for C</w:t>
      </w:r>
      <w:r w:rsidRPr="007F63DD">
        <w:rPr>
          <w:rFonts w:ascii="Times New Roman" w:hAnsi="Times New Roman" w:cs="Times New Roman"/>
          <w:vertAlign w:val="subscript"/>
          <w:lang w:val="en-GB"/>
        </w:rPr>
        <w:t>x</w:t>
      </w:r>
      <w:r w:rsidRPr="007F63DD">
        <w:rPr>
          <w:rFonts w:ascii="Times New Roman" w:hAnsi="Times New Roman" w:cs="Times New Roman"/>
          <w:lang w:val="en-GB"/>
        </w:rPr>
        <w:t>Ti-</w:t>
      </w:r>
      <w:r w:rsidRPr="007F63DD">
        <w:rPr>
          <w:rFonts w:ascii="Times New Roman" w:hAnsi="Times New Roman" w:cs="Times New Roman"/>
          <w:i/>
          <w:lang w:val="en-GB"/>
        </w:rPr>
        <w:t xml:space="preserve">m </w:t>
      </w:r>
      <w:r w:rsidRPr="007F63DD">
        <w:rPr>
          <w:rFonts w:ascii="Times New Roman" w:hAnsi="Times New Roman" w:cs="Times New Roman"/>
          <w:lang w:val="en-GB"/>
        </w:rPr>
        <w:t>composites and TiO</w:t>
      </w:r>
      <w:r w:rsidRPr="007F63DD">
        <w:rPr>
          <w:rFonts w:ascii="Times New Roman" w:hAnsi="Times New Roman" w:cs="Times New Roman"/>
          <w:vertAlign w:val="subscript"/>
          <w:lang w:val="en-GB"/>
        </w:rPr>
        <w:t>2</w:t>
      </w:r>
      <w:r w:rsidRPr="007F63DD">
        <w:rPr>
          <w:rFonts w:ascii="Times New Roman" w:hAnsi="Times New Roman" w:cs="Times New Roman"/>
          <w:lang w:val="en-GB"/>
        </w:rPr>
        <w:t xml:space="preserve"> as a refe</w:t>
      </w:r>
      <w:bookmarkStart w:id="59" w:name="_GoBack"/>
      <w:bookmarkEnd w:id="59"/>
      <w:r w:rsidRPr="007F63DD">
        <w:rPr>
          <w:rFonts w:ascii="Times New Roman" w:hAnsi="Times New Roman" w:cs="Times New Roman"/>
          <w:lang w:val="en-GB"/>
        </w:rPr>
        <w:t>rence. Operating conditions: F = 1,100 mL min</w:t>
      </w:r>
      <w:r w:rsidRPr="007F63DD">
        <w:rPr>
          <w:rFonts w:ascii="Times New Roman" w:hAnsi="Times New Roman" w:cs="Times New Roman"/>
          <w:vertAlign w:val="superscript"/>
          <w:lang w:val="en-GB"/>
        </w:rPr>
        <w:t>-1</w:t>
      </w:r>
      <w:r w:rsidRPr="007F63DD">
        <w:rPr>
          <w:rFonts w:ascii="Times New Roman" w:hAnsi="Times New Roman" w:cs="Times New Roman"/>
          <w:lang w:val="en-GB"/>
        </w:rPr>
        <w:t>, [C</w:t>
      </w:r>
      <w:r w:rsidRPr="007F63DD">
        <w:rPr>
          <w:rFonts w:ascii="Times New Roman" w:hAnsi="Times New Roman" w:cs="Times New Roman"/>
          <w:vertAlign w:val="subscript"/>
          <w:lang w:val="en-GB"/>
        </w:rPr>
        <w:t>2</w:t>
      </w:r>
      <w:r w:rsidRPr="007F63DD">
        <w:rPr>
          <w:rFonts w:ascii="Times New Roman" w:hAnsi="Times New Roman" w:cs="Times New Roman"/>
          <w:lang w:val="en-GB"/>
        </w:rPr>
        <w:t>HCl</w:t>
      </w:r>
      <w:r w:rsidRPr="007F63DD">
        <w:rPr>
          <w:rFonts w:ascii="Times New Roman" w:hAnsi="Times New Roman" w:cs="Times New Roman"/>
          <w:vertAlign w:val="subscript"/>
          <w:lang w:val="en-GB"/>
        </w:rPr>
        <w:t>3</w:t>
      </w:r>
      <w:r w:rsidRPr="007F63DD">
        <w:rPr>
          <w:rFonts w:ascii="Times New Roman" w:hAnsi="Times New Roman" w:cs="Times New Roman"/>
          <w:lang w:val="en-GB"/>
        </w:rPr>
        <w:t>] = 25 ppm, tr = 0.35 s. b) Photocatalytic stability with reaction time for C</w:t>
      </w:r>
      <w:r w:rsidRPr="007F63DD">
        <w:rPr>
          <w:rFonts w:ascii="Times New Roman" w:hAnsi="Times New Roman" w:cs="Times New Roman"/>
          <w:vertAlign w:val="subscript"/>
          <w:lang w:val="en-GB"/>
        </w:rPr>
        <w:t>3</w:t>
      </w:r>
      <w:r w:rsidRPr="007F63DD">
        <w:rPr>
          <w:rFonts w:ascii="Times New Roman" w:hAnsi="Times New Roman" w:cs="Times New Roman"/>
          <w:lang w:val="en-GB"/>
        </w:rPr>
        <w:t>Ti-</w:t>
      </w:r>
      <w:r w:rsidRPr="007F63DD">
        <w:rPr>
          <w:rFonts w:ascii="Times New Roman" w:hAnsi="Times New Roman" w:cs="Times New Roman"/>
          <w:i/>
          <w:lang w:val="en-GB"/>
        </w:rPr>
        <w:t>m</w:t>
      </w:r>
      <w:r w:rsidRPr="007F63DD">
        <w:rPr>
          <w:rFonts w:ascii="Times New Roman" w:hAnsi="Times New Roman" w:cs="Times New Roman"/>
          <w:lang w:val="en-GB"/>
        </w:rPr>
        <w:t xml:space="preserve">. </w:t>
      </w:r>
    </w:p>
    <w:p w:rsidR="00FA54D2" w:rsidRPr="007F63DD" w:rsidRDefault="00FA54D2" w:rsidP="00FA54D2">
      <w:pPr>
        <w:pStyle w:val="EstiloTesis"/>
        <w:rPr>
          <w:highlight w:val="yellow"/>
        </w:rPr>
      </w:pPr>
    </w:p>
    <w:p w:rsidR="00ED10C0" w:rsidRPr="007F63DD" w:rsidRDefault="00ED10C0">
      <w:pPr>
        <w:rPr>
          <w:lang w:val="en-GB"/>
        </w:rPr>
      </w:pPr>
    </w:p>
    <w:sectPr w:rsidR="00ED10C0" w:rsidRPr="007F63DD" w:rsidSect="002A7191">
      <w:footerReference w:type="default" r:id="rId2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5E9D" w:rsidRDefault="008C2C8E">
      <w:pPr>
        <w:spacing w:after="0" w:line="240" w:lineRule="auto"/>
      </w:pPr>
      <w:r>
        <w:separator/>
      </w:r>
    </w:p>
  </w:endnote>
  <w:endnote w:type="continuationSeparator" w:id="0">
    <w:p w:rsidR="002B5E9D" w:rsidRDefault="008C2C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1876273"/>
      <w:docPartObj>
        <w:docPartGallery w:val="Page Numbers (Bottom of Page)"/>
        <w:docPartUnique/>
      </w:docPartObj>
    </w:sdtPr>
    <w:sdtEndPr/>
    <w:sdtContent>
      <w:p w:rsidR="007A495F" w:rsidRDefault="00BB241C">
        <w:pPr>
          <w:pStyle w:val="Piedepgina"/>
          <w:jc w:val="right"/>
        </w:pPr>
        <w:r>
          <w:fldChar w:fldCharType="begin"/>
        </w:r>
        <w:r>
          <w:instrText>PAGE   \* MERGEFORMAT</w:instrText>
        </w:r>
        <w:r>
          <w:fldChar w:fldCharType="separate"/>
        </w:r>
        <w:r w:rsidR="007F63DD">
          <w:rPr>
            <w:noProof/>
          </w:rPr>
          <w:t>38</w:t>
        </w:r>
        <w:r>
          <w:rPr>
            <w:noProof/>
          </w:rPr>
          <w:fldChar w:fldCharType="end"/>
        </w:r>
      </w:p>
    </w:sdtContent>
  </w:sdt>
  <w:p w:rsidR="007A495F" w:rsidRDefault="007F63D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5E9D" w:rsidRDefault="008C2C8E">
      <w:pPr>
        <w:spacing w:after="0" w:line="240" w:lineRule="auto"/>
      </w:pPr>
      <w:r>
        <w:separator/>
      </w:r>
    </w:p>
  </w:footnote>
  <w:footnote w:type="continuationSeparator" w:id="0">
    <w:p w:rsidR="002B5E9D" w:rsidRDefault="008C2C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5B0A05"/>
    <w:multiLevelType w:val="multilevel"/>
    <w:tmpl w:val="7FC882FE"/>
    <w:lvl w:ilvl="0">
      <w:start w:val="1"/>
      <w:numFmt w:val="decimal"/>
      <w:lvlText w:val="%1."/>
      <w:lvlJc w:val="left"/>
      <w:pPr>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 w15:restartNumberingAfterBreak="0">
    <w:nsid w:val="2F25526C"/>
    <w:multiLevelType w:val="multilevel"/>
    <w:tmpl w:val="C7DCFB9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31263BA5"/>
    <w:multiLevelType w:val="multilevel"/>
    <w:tmpl w:val="7FC882FE"/>
    <w:lvl w:ilvl="0">
      <w:start w:val="1"/>
      <w:numFmt w:val="decimal"/>
      <w:lvlText w:val="%1."/>
      <w:lvlJc w:val="left"/>
      <w:pPr>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 w15:restartNumberingAfterBreak="0">
    <w:nsid w:val="3E9B72AB"/>
    <w:multiLevelType w:val="hybridMultilevel"/>
    <w:tmpl w:val="C1E28094"/>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4F8C6F79"/>
    <w:multiLevelType w:val="multilevel"/>
    <w:tmpl w:val="8430B84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D1B2DA2"/>
    <w:multiLevelType w:val="hybridMultilevel"/>
    <w:tmpl w:val="7972AC18"/>
    <w:lvl w:ilvl="0" w:tplc="0C0A000F">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60C24FB4"/>
    <w:multiLevelType w:val="hybridMultilevel"/>
    <w:tmpl w:val="0272396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660A63BB"/>
    <w:multiLevelType w:val="multilevel"/>
    <w:tmpl w:val="7FC882FE"/>
    <w:lvl w:ilvl="0">
      <w:start w:val="1"/>
      <w:numFmt w:val="decimal"/>
      <w:lvlText w:val="%1."/>
      <w:lvlJc w:val="left"/>
      <w:pPr>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 w15:restartNumberingAfterBreak="0">
    <w:nsid w:val="69815863"/>
    <w:multiLevelType w:val="multilevel"/>
    <w:tmpl w:val="547A3182"/>
    <w:lvl w:ilvl="0">
      <w:start w:val="3"/>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 w15:restartNumberingAfterBreak="0">
    <w:nsid w:val="6BC65588"/>
    <w:multiLevelType w:val="hybridMultilevel"/>
    <w:tmpl w:val="19C4BA94"/>
    <w:lvl w:ilvl="0" w:tplc="0C0A0005">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0" w15:restartNumberingAfterBreak="0">
    <w:nsid w:val="6CED1444"/>
    <w:multiLevelType w:val="hybridMultilevel"/>
    <w:tmpl w:val="CC9641E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6D3F4775"/>
    <w:multiLevelType w:val="hybridMultilevel"/>
    <w:tmpl w:val="361085F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790E5EAB"/>
    <w:multiLevelType w:val="hybridMultilevel"/>
    <w:tmpl w:val="8C7C119E"/>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7AAC617E"/>
    <w:multiLevelType w:val="multilevel"/>
    <w:tmpl w:val="ED80FD14"/>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0"/>
  </w:num>
  <w:num w:numId="2">
    <w:abstractNumId w:val="3"/>
  </w:num>
  <w:num w:numId="3">
    <w:abstractNumId w:val="0"/>
  </w:num>
  <w:num w:numId="4">
    <w:abstractNumId w:val="9"/>
  </w:num>
  <w:num w:numId="5">
    <w:abstractNumId w:val="1"/>
  </w:num>
  <w:num w:numId="6">
    <w:abstractNumId w:val="11"/>
  </w:num>
  <w:num w:numId="7">
    <w:abstractNumId w:val="2"/>
  </w:num>
  <w:num w:numId="8">
    <w:abstractNumId w:val="7"/>
  </w:num>
  <w:num w:numId="9">
    <w:abstractNumId w:val="8"/>
  </w:num>
  <w:num w:numId="10">
    <w:abstractNumId w:val="6"/>
  </w:num>
  <w:num w:numId="11">
    <w:abstractNumId w:val="13"/>
  </w:num>
  <w:num w:numId="12">
    <w:abstractNumId w:val="4"/>
  </w:num>
  <w:num w:numId="13">
    <w:abstractNumId w:val="1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en-AU"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5E3465"/>
    <w:rsid w:val="00000E57"/>
    <w:rsid w:val="00010491"/>
    <w:rsid w:val="00013E05"/>
    <w:rsid w:val="00020FBF"/>
    <w:rsid w:val="00021230"/>
    <w:rsid w:val="00025748"/>
    <w:rsid w:val="00026601"/>
    <w:rsid w:val="00027BAB"/>
    <w:rsid w:val="00027CEC"/>
    <w:rsid w:val="000504E5"/>
    <w:rsid w:val="00053C9D"/>
    <w:rsid w:val="0005715A"/>
    <w:rsid w:val="000578B9"/>
    <w:rsid w:val="00061C74"/>
    <w:rsid w:val="00063112"/>
    <w:rsid w:val="0006478F"/>
    <w:rsid w:val="00065AEA"/>
    <w:rsid w:val="00067CC2"/>
    <w:rsid w:val="00071678"/>
    <w:rsid w:val="00076B2C"/>
    <w:rsid w:val="0008080D"/>
    <w:rsid w:val="00086D94"/>
    <w:rsid w:val="0009010A"/>
    <w:rsid w:val="000940EE"/>
    <w:rsid w:val="00097C1F"/>
    <w:rsid w:val="000A0D56"/>
    <w:rsid w:val="000A6BCC"/>
    <w:rsid w:val="000B0C80"/>
    <w:rsid w:val="000B2C7C"/>
    <w:rsid w:val="000B50DB"/>
    <w:rsid w:val="000B5474"/>
    <w:rsid w:val="000C1E33"/>
    <w:rsid w:val="000C66BE"/>
    <w:rsid w:val="000C6C70"/>
    <w:rsid w:val="000D3924"/>
    <w:rsid w:val="000D3E86"/>
    <w:rsid w:val="000D4553"/>
    <w:rsid w:val="000D456B"/>
    <w:rsid w:val="000E0E44"/>
    <w:rsid w:val="000E1271"/>
    <w:rsid w:val="000E5998"/>
    <w:rsid w:val="000F078B"/>
    <w:rsid w:val="000F48D0"/>
    <w:rsid w:val="000F4987"/>
    <w:rsid w:val="000F54E1"/>
    <w:rsid w:val="000F65B3"/>
    <w:rsid w:val="000F7D3F"/>
    <w:rsid w:val="00100E36"/>
    <w:rsid w:val="001020E3"/>
    <w:rsid w:val="0010654F"/>
    <w:rsid w:val="00107B1C"/>
    <w:rsid w:val="00111FA0"/>
    <w:rsid w:val="001130D5"/>
    <w:rsid w:val="00114AE0"/>
    <w:rsid w:val="0011639C"/>
    <w:rsid w:val="00120F2E"/>
    <w:rsid w:val="00121215"/>
    <w:rsid w:val="0012286B"/>
    <w:rsid w:val="00123C4D"/>
    <w:rsid w:val="00131AFA"/>
    <w:rsid w:val="00133492"/>
    <w:rsid w:val="001364A3"/>
    <w:rsid w:val="00137BFC"/>
    <w:rsid w:val="00151C63"/>
    <w:rsid w:val="00154119"/>
    <w:rsid w:val="00155825"/>
    <w:rsid w:val="001564FC"/>
    <w:rsid w:val="00157A48"/>
    <w:rsid w:val="00157BA4"/>
    <w:rsid w:val="00161FFE"/>
    <w:rsid w:val="001623D6"/>
    <w:rsid w:val="00162AFD"/>
    <w:rsid w:val="0016468C"/>
    <w:rsid w:val="00172462"/>
    <w:rsid w:val="0017462A"/>
    <w:rsid w:val="00175077"/>
    <w:rsid w:val="001802CA"/>
    <w:rsid w:val="001824C3"/>
    <w:rsid w:val="001829E3"/>
    <w:rsid w:val="00184626"/>
    <w:rsid w:val="00194F7C"/>
    <w:rsid w:val="001A172E"/>
    <w:rsid w:val="001A4925"/>
    <w:rsid w:val="001A7231"/>
    <w:rsid w:val="001B389C"/>
    <w:rsid w:val="001B4AA7"/>
    <w:rsid w:val="001C015A"/>
    <w:rsid w:val="001C0A45"/>
    <w:rsid w:val="001C2AAF"/>
    <w:rsid w:val="001C3306"/>
    <w:rsid w:val="001C4EDD"/>
    <w:rsid w:val="001C54C4"/>
    <w:rsid w:val="001D3086"/>
    <w:rsid w:val="001D31DD"/>
    <w:rsid w:val="001D494F"/>
    <w:rsid w:val="001D5E42"/>
    <w:rsid w:val="001E5647"/>
    <w:rsid w:val="001E6A5D"/>
    <w:rsid w:val="001F555F"/>
    <w:rsid w:val="001F6A03"/>
    <w:rsid w:val="00200A52"/>
    <w:rsid w:val="00201980"/>
    <w:rsid w:val="002046FE"/>
    <w:rsid w:val="00205C48"/>
    <w:rsid w:val="00205E49"/>
    <w:rsid w:val="0020698E"/>
    <w:rsid w:val="00210848"/>
    <w:rsid w:val="00211D51"/>
    <w:rsid w:val="002139E3"/>
    <w:rsid w:val="00217893"/>
    <w:rsid w:val="00220AE5"/>
    <w:rsid w:val="002217C7"/>
    <w:rsid w:val="0022183F"/>
    <w:rsid w:val="002252C9"/>
    <w:rsid w:val="002258BD"/>
    <w:rsid w:val="002274CC"/>
    <w:rsid w:val="002275D1"/>
    <w:rsid w:val="00230F69"/>
    <w:rsid w:val="0023360A"/>
    <w:rsid w:val="00233B9B"/>
    <w:rsid w:val="002352A7"/>
    <w:rsid w:val="00235B89"/>
    <w:rsid w:val="00242473"/>
    <w:rsid w:val="00243CF2"/>
    <w:rsid w:val="00250A4A"/>
    <w:rsid w:val="00252CB0"/>
    <w:rsid w:val="00254B09"/>
    <w:rsid w:val="00254BEE"/>
    <w:rsid w:val="00254DFD"/>
    <w:rsid w:val="0025544D"/>
    <w:rsid w:val="0026176A"/>
    <w:rsid w:val="00262A12"/>
    <w:rsid w:val="002634E9"/>
    <w:rsid w:val="002743AC"/>
    <w:rsid w:val="00277AC8"/>
    <w:rsid w:val="002804EC"/>
    <w:rsid w:val="00280C3F"/>
    <w:rsid w:val="00281DF9"/>
    <w:rsid w:val="0028436B"/>
    <w:rsid w:val="002856C8"/>
    <w:rsid w:val="00287928"/>
    <w:rsid w:val="00291B36"/>
    <w:rsid w:val="0029324C"/>
    <w:rsid w:val="00296798"/>
    <w:rsid w:val="002A31B4"/>
    <w:rsid w:val="002A3270"/>
    <w:rsid w:val="002A38E6"/>
    <w:rsid w:val="002A3E71"/>
    <w:rsid w:val="002A449F"/>
    <w:rsid w:val="002A5AE5"/>
    <w:rsid w:val="002A6082"/>
    <w:rsid w:val="002A7484"/>
    <w:rsid w:val="002A7C99"/>
    <w:rsid w:val="002A7D30"/>
    <w:rsid w:val="002B1E3E"/>
    <w:rsid w:val="002B1F5D"/>
    <w:rsid w:val="002B32D6"/>
    <w:rsid w:val="002B39D5"/>
    <w:rsid w:val="002B5E9D"/>
    <w:rsid w:val="002B65F1"/>
    <w:rsid w:val="002C0B80"/>
    <w:rsid w:val="002D0888"/>
    <w:rsid w:val="002D11CC"/>
    <w:rsid w:val="002D1998"/>
    <w:rsid w:val="002D6C4E"/>
    <w:rsid w:val="002E3222"/>
    <w:rsid w:val="002E445C"/>
    <w:rsid w:val="002E7CDC"/>
    <w:rsid w:val="002F174C"/>
    <w:rsid w:val="002F333B"/>
    <w:rsid w:val="0030015C"/>
    <w:rsid w:val="00304C53"/>
    <w:rsid w:val="003112A2"/>
    <w:rsid w:val="00313ACB"/>
    <w:rsid w:val="0031516A"/>
    <w:rsid w:val="00326213"/>
    <w:rsid w:val="00331204"/>
    <w:rsid w:val="003335EB"/>
    <w:rsid w:val="0033402B"/>
    <w:rsid w:val="00337EBB"/>
    <w:rsid w:val="00337F9F"/>
    <w:rsid w:val="003410D6"/>
    <w:rsid w:val="00342CCB"/>
    <w:rsid w:val="00346142"/>
    <w:rsid w:val="00352A2C"/>
    <w:rsid w:val="00354C7C"/>
    <w:rsid w:val="00355A10"/>
    <w:rsid w:val="00364971"/>
    <w:rsid w:val="00364D9F"/>
    <w:rsid w:val="0036661F"/>
    <w:rsid w:val="00366C52"/>
    <w:rsid w:val="003701E0"/>
    <w:rsid w:val="003722F1"/>
    <w:rsid w:val="00372D02"/>
    <w:rsid w:val="003733C8"/>
    <w:rsid w:val="00375343"/>
    <w:rsid w:val="00377726"/>
    <w:rsid w:val="00387A3D"/>
    <w:rsid w:val="003927EF"/>
    <w:rsid w:val="00395F4F"/>
    <w:rsid w:val="00397CF6"/>
    <w:rsid w:val="003A01FE"/>
    <w:rsid w:val="003A19B8"/>
    <w:rsid w:val="003A30D4"/>
    <w:rsid w:val="003A622A"/>
    <w:rsid w:val="003B06AA"/>
    <w:rsid w:val="003B132D"/>
    <w:rsid w:val="003B3FED"/>
    <w:rsid w:val="003B6C99"/>
    <w:rsid w:val="003C020E"/>
    <w:rsid w:val="003C02C1"/>
    <w:rsid w:val="003C02CC"/>
    <w:rsid w:val="003C06C7"/>
    <w:rsid w:val="003C0A73"/>
    <w:rsid w:val="003C4A03"/>
    <w:rsid w:val="003C55F4"/>
    <w:rsid w:val="003D2DB9"/>
    <w:rsid w:val="003D5E32"/>
    <w:rsid w:val="003D61E8"/>
    <w:rsid w:val="003E0675"/>
    <w:rsid w:val="003E0F53"/>
    <w:rsid w:val="003E6C47"/>
    <w:rsid w:val="003E6E27"/>
    <w:rsid w:val="003E7426"/>
    <w:rsid w:val="003F35C1"/>
    <w:rsid w:val="003F3CD6"/>
    <w:rsid w:val="003F4121"/>
    <w:rsid w:val="003F7C12"/>
    <w:rsid w:val="00400749"/>
    <w:rsid w:val="00400ADE"/>
    <w:rsid w:val="004011B4"/>
    <w:rsid w:val="004022BE"/>
    <w:rsid w:val="004039F9"/>
    <w:rsid w:val="00404751"/>
    <w:rsid w:val="00417728"/>
    <w:rsid w:val="00421DEC"/>
    <w:rsid w:val="00423D6C"/>
    <w:rsid w:val="0042435A"/>
    <w:rsid w:val="00425366"/>
    <w:rsid w:val="00430E9C"/>
    <w:rsid w:val="00431B74"/>
    <w:rsid w:val="00431C3A"/>
    <w:rsid w:val="00442C2C"/>
    <w:rsid w:val="004437F9"/>
    <w:rsid w:val="00445126"/>
    <w:rsid w:val="0044624F"/>
    <w:rsid w:val="00450B56"/>
    <w:rsid w:val="00451B5A"/>
    <w:rsid w:val="004554E7"/>
    <w:rsid w:val="0045581C"/>
    <w:rsid w:val="004558C2"/>
    <w:rsid w:val="00456041"/>
    <w:rsid w:val="00457246"/>
    <w:rsid w:val="00457B70"/>
    <w:rsid w:val="004619E4"/>
    <w:rsid w:val="0046369A"/>
    <w:rsid w:val="00464E16"/>
    <w:rsid w:val="00466131"/>
    <w:rsid w:val="00467B01"/>
    <w:rsid w:val="004727FA"/>
    <w:rsid w:val="004742FB"/>
    <w:rsid w:val="0047488E"/>
    <w:rsid w:val="0048098D"/>
    <w:rsid w:val="004828FE"/>
    <w:rsid w:val="004833B1"/>
    <w:rsid w:val="0048605B"/>
    <w:rsid w:val="00487852"/>
    <w:rsid w:val="00487A7F"/>
    <w:rsid w:val="00497373"/>
    <w:rsid w:val="00497FD9"/>
    <w:rsid w:val="004A098B"/>
    <w:rsid w:val="004A2501"/>
    <w:rsid w:val="004B0E70"/>
    <w:rsid w:val="004B23F9"/>
    <w:rsid w:val="004B3D55"/>
    <w:rsid w:val="004C0AE5"/>
    <w:rsid w:val="004C396E"/>
    <w:rsid w:val="004C41A8"/>
    <w:rsid w:val="004C57D9"/>
    <w:rsid w:val="004C6856"/>
    <w:rsid w:val="004D4140"/>
    <w:rsid w:val="004D4524"/>
    <w:rsid w:val="004D4C61"/>
    <w:rsid w:val="004E436C"/>
    <w:rsid w:val="004E7F7F"/>
    <w:rsid w:val="004F285F"/>
    <w:rsid w:val="004F3244"/>
    <w:rsid w:val="004F38AE"/>
    <w:rsid w:val="004F5467"/>
    <w:rsid w:val="004F7DF5"/>
    <w:rsid w:val="00501AC7"/>
    <w:rsid w:val="00501D2B"/>
    <w:rsid w:val="005059F6"/>
    <w:rsid w:val="005075C8"/>
    <w:rsid w:val="00507F18"/>
    <w:rsid w:val="005128D4"/>
    <w:rsid w:val="00514667"/>
    <w:rsid w:val="00515EAE"/>
    <w:rsid w:val="005221D3"/>
    <w:rsid w:val="005228BC"/>
    <w:rsid w:val="00524690"/>
    <w:rsid w:val="00524FE7"/>
    <w:rsid w:val="00527083"/>
    <w:rsid w:val="00535DAC"/>
    <w:rsid w:val="0054086C"/>
    <w:rsid w:val="00541C19"/>
    <w:rsid w:val="00546006"/>
    <w:rsid w:val="005523B2"/>
    <w:rsid w:val="0055540D"/>
    <w:rsid w:val="00555EE5"/>
    <w:rsid w:val="00562034"/>
    <w:rsid w:val="005660EE"/>
    <w:rsid w:val="00567047"/>
    <w:rsid w:val="00571B7A"/>
    <w:rsid w:val="005739AF"/>
    <w:rsid w:val="005751ED"/>
    <w:rsid w:val="005765C9"/>
    <w:rsid w:val="005807E7"/>
    <w:rsid w:val="00581773"/>
    <w:rsid w:val="0059204F"/>
    <w:rsid w:val="00594919"/>
    <w:rsid w:val="00597C9D"/>
    <w:rsid w:val="005A2BB6"/>
    <w:rsid w:val="005A4053"/>
    <w:rsid w:val="005A78A6"/>
    <w:rsid w:val="005B034F"/>
    <w:rsid w:val="005B0E1D"/>
    <w:rsid w:val="005B547D"/>
    <w:rsid w:val="005B7670"/>
    <w:rsid w:val="005C057D"/>
    <w:rsid w:val="005C167E"/>
    <w:rsid w:val="005C20E8"/>
    <w:rsid w:val="005C501D"/>
    <w:rsid w:val="005C7176"/>
    <w:rsid w:val="005C7A58"/>
    <w:rsid w:val="005D0366"/>
    <w:rsid w:val="005D19E1"/>
    <w:rsid w:val="005D1EF9"/>
    <w:rsid w:val="005D2EB8"/>
    <w:rsid w:val="005D6355"/>
    <w:rsid w:val="005E3465"/>
    <w:rsid w:val="005E45B5"/>
    <w:rsid w:val="005F1121"/>
    <w:rsid w:val="005F2FF9"/>
    <w:rsid w:val="00601C09"/>
    <w:rsid w:val="006029EE"/>
    <w:rsid w:val="00603935"/>
    <w:rsid w:val="00603B94"/>
    <w:rsid w:val="00607ECF"/>
    <w:rsid w:val="00610637"/>
    <w:rsid w:val="006115FB"/>
    <w:rsid w:val="0061188A"/>
    <w:rsid w:val="006123A8"/>
    <w:rsid w:val="00613C7B"/>
    <w:rsid w:val="0061428C"/>
    <w:rsid w:val="0061480F"/>
    <w:rsid w:val="00617508"/>
    <w:rsid w:val="00626883"/>
    <w:rsid w:val="00626904"/>
    <w:rsid w:val="00631B69"/>
    <w:rsid w:val="00632BB5"/>
    <w:rsid w:val="00641436"/>
    <w:rsid w:val="006428BB"/>
    <w:rsid w:val="006433DE"/>
    <w:rsid w:val="00644B77"/>
    <w:rsid w:val="0064772B"/>
    <w:rsid w:val="00647E58"/>
    <w:rsid w:val="006510C4"/>
    <w:rsid w:val="00654FC6"/>
    <w:rsid w:val="00655BFF"/>
    <w:rsid w:val="00661D38"/>
    <w:rsid w:val="00662128"/>
    <w:rsid w:val="00664632"/>
    <w:rsid w:val="0066549F"/>
    <w:rsid w:val="006655AE"/>
    <w:rsid w:val="00671F04"/>
    <w:rsid w:val="0067339B"/>
    <w:rsid w:val="0068003A"/>
    <w:rsid w:val="00682087"/>
    <w:rsid w:val="006836B2"/>
    <w:rsid w:val="00684364"/>
    <w:rsid w:val="0068464F"/>
    <w:rsid w:val="0068737C"/>
    <w:rsid w:val="00687513"/>
    <w:rsid w:val="00687C46"/>
    <w:rsid w:val="00690FD6"/>
    <w:rsid w:val="006911DC"/>
    <w:rsid w:val="00692804"/>
    <w:rsid w:val="006939AF"/>
    <w:rsid w:val="00693C3E"/>
    <w:rsid w:val="00696449"/>
    <w:rsid w:val="006A142B"/>
    <w:rsid w:val="006A2C3C"/>
    <w:rsid w:val="006A4708"/>
    <w:rsid w:val="006A549E"/>
    <w:rsid w:val="006B03E0"/>
    <w:rsid w:val="006B0BC5"/>
    <w:rsid w:val="006B2F72"/>
    <w:rsid w:val="006B6BD9"/>
    <w:rsid w:val="006C03E7"/>
    <w:rsid w:val="006C5D58"/>
    <w:rsid w:val="006C66FB"/>
    <w:rsid w:val="006C6751"/>
    <w:rsid w:val="006C736F"/>
    <w:rsid w:val="006D67C1"/>
    <w:rsid w:val="006D79EE"/>
    <w:rsid w:val="006D7A32"/>
    <w:rsid w:val="006E1F3C"/>
    <w:rsid w:val="006F0E19"/>
    <w:rsid w:val="006F3907"/>
    <w:rsid w:val="006F4FF6"/>
    <w:rsid w:val="006F6AED"/>
    <w:rsid w:val="006F7E7B"/>
    <w:rsid w:val="00701D6F"/>
    <w:rsid w:val="00702E59"/>
    <w:rsid w:val="00704A99"/>
    <w:rsid w:val="0070567F"/>
    <w:rsid w:val="0071133E"/>
    <w:rsid w:val="00712A38"/>
    <w:rsid w:val="00712F38"/>
    <w:rsid w:val="00717F2E"/>
    <w:rsid w:val="00723DAE"/>
    <w:rsid w:val="00727D36"/>
    <w:rsid w:val="00730A79"/>
    <w:rsid w:val="00730AE2"/>
    <w:rsid w:val="00733090"/>
    <w:rsid w:val="007358C3"/>
    <w:rsid w:val="0073641E"/>
    <w:rsid w:val="00741E68"/>
    <w:rsid w:val="00752A42"/>
    <w:rsid w:val="00753F2A"/>
    <w:rsid w:val="00762B18"/>
    <w:rsid w:val="00766145"/>
    <w:rsid w:val="00767B7B"/>
    <w:rsid w:val="00775275"/>
    <w:rsid w:val="00777DD6"/>
    <w:rsid w:val="007877EB"/>
    <w:rsid w:val="0079006E"/>
    <w:rsid w:val="00792A0B"/>
    <w:rsid w:val="00792C88"/>
    <w:rsid w:val="00793867"/>
    <w:rsid w:val="00794332"/>
    <w:rsid w:val="00796DEB"/>
    <w:rsid w:val="007A229A"/>
    <w:rsid w:val="007A2386"/>
    <w:rsid w:val="007A2AEB"/>
    <w:rsid w:val="007A3F4E"/>
    <w:rsid w:val="007B098C"/>
    <w:rsid w:val="007B66A9"/>
    <w:rsid w:val="007C2157"/>
    <w:rsid w:val="007C280A"/>
    <w:rsid w:val="007D6551"/>
    <w:rsid w:val="007D7049"/>
    <w:rsid w:val="007D78C3"/>
    <w:rsid w:val="007E4280"/>
    <w:rsid w:val="007E67EF"/>
    <w:rsid w:val="007E69B7"/>
    <w:rsid w:val="007E7FFA"/>
    <w:rsid w:val="007F0A33"/>
    <w:rsid w:val="007F2F5E"/>
    <w:rsid w:val="007F4A06"/>
    <w:rsid w:val="007F4AE4"/>
    <w:rsid w:val="007F63DD"/>
    <w:rsid w:val="007F64FD"/>
    <w:rsid w:val="007F6C18"/>
    <w:rsid w:val="00804BAF"/>
    <w:rsid w:val="008055EC"/>
    <w:rsid w:val="00806E3F"/>
    <w:rsid w:val="008118A7"/>
    <w:rsid w:val="00812AE0"/>
    <w:rsid w:val="0082193E"/>
    <w:rsid w:val="0082281A"/>
    <w:rsid w:val="00823784"/>
    <w:rsid w:val="008237CC"/>
    <w:rsid w:val="00824F13"/>
    <w:rsid w:val="0083096D"/>
    <w:rsid w:val="008325D1"/>
    <w:rsid w:val="00835702"/>
    <w:rsid w:val="00836687"/>
    <w:rsid w:val="008427CB"/>
    <w:rsid w:val="00846086"/>
    <w:rsid w:val="0084738F"/>
    <w:rsid w:val="00850DC4"/>
    <w:rsid w:val="00851634"/>
    <w:rsid w:val="008529F5"/>
    <w:rsid w:val="00856471"/>
    <w:rsid w:val="00864051"/>
    <w:rsid w:val="00865585"/>
    <w:rsid w:val="00867FD3"/>
    <w:rsid w:val="00872FF9"/>
    <w:rsid w:val="00875528"/>
    <w:rsid w:val="00875A55"/>
    <w:rsid w:val="00875D21"/>
    <w:rsid w:val="008778D5"/>
    <w:rsid w:val="008917DF"/>
    <w:rsid w:val="008922E9"/>
    <w:rsid w:val="0089654D"/>
    <w:rsid w:val="00897310"/>
    <w:rsid w:val="00897446"/>
    <w:rsid w:val="00897ACA"/>
    <w:rsid w:val="00897FE6"/>
    <w:rsid w:val="008A41DA"/>
    <w:rsid w:val="008A7582"/>
    <w:rsid w:val="008C0823"/>
    <w:rsid w:val="008C0D2C"/>
    <w:rsid w:val="008C2C8E"/>
    <w:rsid w:val="008D53CC"/>
    <w:rsid w:val="008D5671"/>
    <w:rsid w:val="008D5D63"/>
    <w:rsid w:val="008D6B41"/>
    <w:rsid w:val="008D7E22"/>
    <w:rsid w:val="008E0ED2"/>
    <w:rsid w:val="008E5854"/>
    <w:rsid w:val="008E759D"/>
    <w:rsid w:val="008F3DC7"/>
    <w:rsid w:val="008F4B15"/>
    <w:rsid w:val="008F6E79"/>
    <w:rsid w:val="00900B1F"/>
    <w:rsid w:val="00903A1D"/>
    <w:rsid w:val="00904D45"/>
    <w:rsid w:val="00913066"/>
    <w:rsid w:val="0091325A"/>
    <w:rsid w:val="00913AAD"/>
    <w:rsid w:val="00913F67"/>
    <w:rsid w:val="00916A6D"/>
    <w:rsid w:val="009218BF"/>
    <w:rsid w:val="00923EFB"/>
    <w:rsid w:val="009254C9"/>
    <w:rsid w:val="00925ADD"/>
    <w:rsid w:val="009270B4"/>
    <w:rsid w:val="009300FF"/>
    <w:rsid w:val="00930192"/>
    <w:rsid w:val="00930351"/>
    <w:rsid w:val="00930542"/>
    <w:rsid w:val="00932630"/>
    <w:rsid w:val="0093614A"/>
    <w:rsid w:val="009401F4"/>
    <w:rsid w:val="00940908"/>
    <w:rsid w:val="00941BFD"/>
    <w:rsid w:val="00944FFE"/>
    <w:rsid w:val="009531BC"/>
    <w:rsid w:val="009532D4"/>
    <w:rsid w:val="00957281"/>
    <w:rsid w:val="00957E09"/>
    <w:rsid w:val="00960E7F"/>
    <w:rsid w:val="00962EDF"/>
    <w:rsid w:val="00963BC0"/>
    <w:rsid w:val="00963D8D"/>
    <w:rsid w:val="00966862"/>
    <w:rsid w:val="00970653"/>
    <w:rsid w:val="00974931"/>
    <w:rsid w:val="00980DE7"/>
    <w:rsid w:val="0098297F"/>
    <w:rsid w:val="009852E0"/>
    <w:rsid w:val="00987B4B"/>
    <w:rsid w:val="009915EE"/>
    <w:rsid w:val="00991E3F"/>
    <w:rsid w:val="00992679"/>
    <w:rsid w:val="00994CE6"/>
    <w:rsid w:val="00997595"/>
    <w:rsid w:val="009A2005"/>
    <w:rsid w:val="009A4579"/>
    <w:rsid w:val="009B1A8C"/>
    <w:rsid w:val="009B1C60"/>
    <w:rsid w:val="009B3E1A"/>
    <w:rsid w:val="009B4F08"/>
    <w:rsid w:val="009C3243"/>
    <w:rsid w:val="009C38A5"/>
    <w:rsid w:val="009C3AB3"/>
    <w:rsid w:val="009C77E6"/>
    <w:rsid w:val="009C7B46"/>
    <w:rsid w:val="009D056E"/>
    <w:rsid w:val="009D438E"/>
    <w:rsid w:val="009D50B3"/>
    <w:rsid w:val="009D7586"/>
    <w:rsid w:val="009E1287"/>
    <w:rsid w:val="009E3590"/>
    <w:rsid w:val="009E4AB4"/>
    <w:rsid w:val="009E76B5"/>
    <w:rsid w:val="009F03AA"/>
    <w:rsid w:val="009F2037"/>
    <w:rsid w:val="009F4D10"/>
    <w:rsid w:val="009F540C"/>
    <w:rsid w:val="009F7435"/>
    <w:rsid w:val="009F7A62"/>
    <w:rsid w:val="00A003BC"/>
    <w:rsid w:val="00A02738"/>
    <w:rsid w:val="00A028CB"/>
    <w:rsid w:val="00A065EB"/>
    <w:rsid w:val="00A06CC0"/>
    <w:rsid w:val="00A1099F"/>
    <w:rsid w:val="00A11504"/>
    <w:rsid w:val="00A126FC"/>
    <w:rsid w:val="00A20773"/>
    <w:rsid w:val="00A25658"/>
    <w:rsid w:val="00A2626A"/>
    <w:rsid w:val="00A27ED3"/>
    <w:rsid w:val="00A31D6B"/>
    <w:rsid w:val="00A33731"/>
    <w:rsid w:val="00A35607"/>
    <w:rsid w:val="00A4151C"/>
    <w:rsid w:val="00A41EB7"/>
    <w:rsid w:val="00A43B66"/>
    <w:rsid w:val="00A449D3"/>
    <w:rsid w:val="00A46543"/>
    <w:rsid w:val="00A549F2"/>
    <w:rsid w:val="00A56858"/>
    <w:rsid w:val="00A60E8D"/>
    <w:rsid w:val="00A61462"/>
    <w:rsid w:val="00A61489"/>
    <w:rsid w:val="00A62C5C"/>
    <w:rsid w:val="00A641C8"/>
    <w:rsid w:val="00A673E2"/>
    <w:rsid w:val="00A770D1"/>
    <w:rsid w:val="00A77F4E"/>
    <w:rsid w:val="00A8200D"/>
    <w:rsid w:val="00A84534"/>
    <w:rsid w:val="00A906CF"/>
    <w:rsid w:val="00A90CC3"/>
    <w:rsid w:val="00A923E3"/>
    <w:rsid w:val="00AA1E93"/>
    <w:rsid w:val="00AA24F9"/>
    <w:rsid w:val="00AA28EA"/>
    <w:rsid w:val="00AA4038"/>
    <w:rsid w:val="00AA6BE4"/>
    <w:rsid w:val="00AB36B8"/>
    <w:rsid w:val="00AB500A"/>
    <w:rsid w:val="00AC3FE9"/>
    <w:rsid w:val="00AC4051"/>
    <w:rsid w:val="00AC527A"/>
    <w:rsid w:val="00AC6A9E"/>
    <w:rsid w:val="00AC7F15"/>
    <w:rsid w:val="00AD4779"/>
    <w:rsid w:val="00AD64F9"/>
    <w:rsid w:val="00AD79A4"/>
    <w:rsid w:val="00AE0DD2"/>
    <w:rsid w:val="00AE1CCC"/>
    <w:rsid w:val="00AE5D05"/>
    <w:rsid w:val="00AE6D09"/>
    <w:rsid w:val="00AF0868"/>
    <w:rsid w:val="00AF1325"/>
    <w:rsid w:val="00AF32CE"/>
    <w:rsid w:val="00AF56FC"/>
    <w:rsid w:val="00B006F9"/>
    <w:rsid w:val="00B00819"/>
    <w:rsid w:val="00B008B0"/>
    <w:rsid w:val="00B03CED"/>
    <w:rsid w:val="00B1004A"/>
    <w:rsid w:val="00B10268"/>
    <w:rsid w:val="00B139B7"/>
    <w:rsid w:val="00B14957"/>
    <w:rsid w:val="00B152A2"/>
    <w:rsid w:val="00B20826"/>
    <w:rsid w:val="00B20853"/>
    <w:rsid w:val="00B2646D"/>
    <w:rsid w:val="00B32152"/>
    <w:rsid w:val="00B329DF"/>
    <w:rsid w:val="00B34118"/>
    <w:rsid w:val="00B36483"/>
    <w:rsid w:val="00B36F22"/>
    <w:rsid w:val="00B41267"/>
    <w:rsid w:val="00B46EAB"/>
    <w:rsid w:val="00B54BA4"/>
    <w:rsid w:val="00B62A8C"/>
    <w:rsid w:val="00B6482D"/>
    <w:rsid w:val="00B77EAA"/>
    <w:rsid w:val="00B8096F"/>
    <w:rsid w:val="00B81A2C"/>
    <w:rsid w:val="00B84EC2"/>
    <w:rsid w:val="00B857C9"/>
    <w:rsid w:val="00B9107E"/>
    <w:rsid w:val="00B9614B"/>
    <w:rsid w:val="00BA1438"/>
    <w:rsid w:val="00BA1A38"/>
    <w:rsid w:val="00BA2515"/>
    <w:rsid w:val="00BA557D"/>
    <w:rsid w:val="00BB0A13"/>
    <w:rsid w:val="00BB241C"/>
    <w:rsid w:val="00BB3322"/>
    <w:rsid w:val="00BB5058"/>
    <w:rsid w:val="00BB5A3E"/>
    <w:rsid w:val="00BB5D4A"/>
    <w:rsid w:val="00BB7C74"/>
    <w:rsid w:val="00BB7E84"/>
    <w:rsid w:val="00BC0845"/>
    <w:rsid w:val="00BC0ED1"/>
    <w:rsid w:val="00BC1730"/>
    <w:rsid w:val="00BC1F8C"/>
    <w:rsid w:val="00BC24D5"/>
    <w:rsid w:val="00BC68DD"/>
    <w:rsid w:val="00BD2CE2"/>
    <w:rsid w:val="00BD32DB"/>
    <w:rsid w:val="00BD521E"/>
    <w:rsid w:val="00BD655C"/>
    <w:rsid w:val="00BE2DC7"/>
    <w:rsid w:val="00BE3FDF"/>
    <w:rsid w:val="00BE5749"/>
    <w:rsid w:val="00BE5E0D"/>
    <w:rsid w:val="00BE6E5C"/>
    <w:rsid w:val="00BF0D09"/>
    <w:rsid w:val="00BF172D"/>
    <w:rsid w:val="00BF21A0"/>
    <w:rsid w:val="00BF2777"/>
    <w:rsid w:val="00BF4339"/>
    <w:rsid w:val="00BF5595"/>
    <w:rsid w:val="00BF59B4"/>
    <w:rsid w:val="00BF611E"/>
    <w:rsid w:val="00BF6BCC"/>
    <w:rsid w:val="00BF7BFA"/>
    <w:rsid w:val="00C02484"/>
    <w:rsid w:val="00C02ACE"/>
    <w:rsid w:val="00C10B24"/>
    <w:rsid w:val="00C11A65"/>
    <w:rsid w:val="00C11D7F"/>
    <w:rsid w:val="00C25A81"/>
    <w:rsid w:val="00C26728"/>
    <w:rsid w:val="00C32F0B"/>
    <w:rsid w:val="00C3734C"/>
    <w:rsid w:val="00C40539"/>
    <w:rsid w:val="00C412CE"/>
    <w:rsid w:val="00C5711A"/>
    <w:rsid w:val="00C634BA"/>
    <w:rsid w:val="00C67E22"/>
    <w:rsid w:val="00C75326"/>
    <w:rsid w:val="00C82E4C"/>
    <w:rsid w:val="00C82E4E"/>
    <w:rsid w:val="00C86C25"/>
    <w:rsid w:val="00C86E71"/>
    <w:rsid w:val="00C87C7E"/>
    <w:rsid w:val="00C92138"/>
    <w:rsid w:val="00C966AA"/>
    <w:rsid w:val="00CA14BC"/>
    <w:rsid w:val="00CA2C01"/>
    <w:rsid w:val="00CA6B53"/>
    <w:rsid w:val="00CB101C"/>
    <w:rsid w:val="00CB3338"/>
    <w:rsid w:val="00CB47D2"/>
    <w:rsid w:val="00CB55DA"/>
    <w:rsid w:val="00CB68DD"/>
    <w:rsid w:val="00CB72A3"/>
    <w:rsid w:val="00CB7307"/>
    <w:rsid w:val="00CC17BF"/>
    <w:rsid w:val="00CE208C"/>
    <w:rsid w:val="00CE25C3"/>
    <w:rsid w:val="00CE6015"/>
    <w:rsid w:val="00CE6E94"/>
    <w:rsid w:val="00CF01C0"/>
    <w:rsid w:val="00CF0998"/>
    <w:rsid w:val="00CF371D"/>
    <w:rsid w:val="00CF6800"/>
    <w:rsid w:val="00CF7D0F"/>
    <w:rsid w:val="00D052CD"/>
    <w:rsid w:val="00D12026"/>
    <w:rsid w:val="00D14633"/>
    <w:rsid w:val="00D17643"/>
    <w:rsid w:val="00D20409"/>
    <w:rsid w:val="00D26239"/>
    <w:rsid w:val="00D26663"/>
    <w:rsid w:val="00D27BF6"/>
    <w:rsid w:val="00D31634"/>
    <w:rsid w:val="00D344FF"/>
    <w:rsid w:val="00D3480B"/>
    <w:rsid w:val="00D34BF8"/>
    <w:rsid w:val="00D35413"/>
    <w:rsid w:val="00D37A51"/>
    <w:rsid w:val="00D41024"/>
    <w:rsid w:val="00D50097"/>
    <w:rsid w:val="00D50547"/>
    <w:rsid w:val="00D5144C"/>
    <w:rsid w:val="00D554E4"/>
    <w:rsid w:val="00D55549"/>
    <w:rsid w:val="00D5656B"/>
    <w:rsid w:val="00D645A9"/>
    <w:rsid w:val="00D66D68"/>
    <w:rsid w:val="00D70945"/>
    <w:rsid w:val="00D727C3"/>
    <w:rsid w:val="00D75644"/>
    <w:rsid w:val="00D81F50"/>
    <w:rsid w:val="00D82ABC"/>
    <w:rsid w:val="00D835AF"/>
    <w:rsid w:val="00D836F5"/>
    <w:rsid w:val="00D847E9"/>
    <w:rsid w:val="00D86424"/>
    <w:rsid w:val="00D90C82"/>
    <w:rsid w:val="00D91B7D"/>
    <w:rsid w:val="00D95945"/>
    <w:rsid w:val="00D95CFC"/>
    <w:rsid w:val="00DA1F3C"/>
    <w:rsid w:val="00DA28E7"/>
    <w:rsid w:val="00DA30A3"/>
    <w:rsid w:val="00DA5F98"/>
    <w:rsid w:val="00DB2069"/>
    <w:rsid w:val="00DB366E"/>
    <w:rsid w:val="00DB6E82"/>
    <w:rsid w:val="00DB74ED"/>
    <w:rsid w:val="00DC103E"/>
    <w:rsid w:val="00DC207B"/>
    <w:rsid w:val="00DD4317"/>
    <w:rsid w:val="00DD705F"/>
    <w:rsid w:val="00DD74DE"/>
    <w:rsid w:val="00DE015E"/>
    <w:rsid w:val="00DE2DCC"/>
    <w:rsid w:val="00DE49BD"/>
    <w:rsid w:val="00DE72B5"/>
    <w:rsid w:val="00DF1986"/>
    <w:rsid w:val="00DF233A"/>
    <w:rsid w:val="00DF4E72"/>
    <w:rsid w:val="00DF5E07"/>
    <w:rsid w:val="00DF645C"/>
    <w:rsid w:val="00DF67C0"/>
    <w:rsid w:val="00E00605"/>
    <w:rsid w:val="00E039E2"/>
    <w:rsid w:val="00E05BA5"/>
    <w:rsid w:val="00E07302"/>
    <w:rsid w:val="00E07711"/>
    <w:rsid w:val="00E1530F"/>
    <w:rsid w:val="00E22C8D"/>
    <w:rsid w:val="00E236C5"/>
    <w:rsid w:val="00E24FFE"/>
    <w:rsid w:val="00E25FF9"/>
    <w:rsid w:val="00E26134"/>
    <w:rsid w:val="00E30B1F"/>
    <w:rsid w:val="00E30BDC"/>
    <w:rsid w:val="00E30F97"/>
    <w:rsid w:val="00E35288"/>
    <w:rsid w:val="00E36335"/>
    <w:rsid w:val="00E3635F"/>
    <w:rsid w:val="00E42ECD"/>
    <w:rsid w:val="00E43889"/>
    <w:rsid w:val="00E4643A"/>
    <w:rsid w:val="00E47B2F"/>
    <w:rsid w:val="00E50E1B"/>
    <w:rsid w:val="00E522F6"/>
    <w:rsid w:val="00E549C4"/>
    <w:rsid w:val="00E558BC"/>
    <w:rsid w:val="00E67FA3"/>
    <w:rsid w:val="00E72388"/>
    <w:rsid w:val="00E72E93"/>
    <w:rsid w:val="00E81A18"/>
    <w:rsid w:val="00E81C2D"/>
    <w:rsid w:val="00E828FB"/>
    <w:rsid w:val="00E840E2"/>
    <w:rsid w:val="00E840F5"/>
    <w:rsid w:val="00E908D1"/>
    <w:rsid w:val="00E90B75"/>
    <w:rsid w:val="00E9508D"/>
    <w:rsid w:val="00E97F9A"/>
    <w:rsid w:val="00EA4167"/>
    <w:rsid w:val="00EA5838"/>
    <w:rsid w:val="00EA6C8E"/>
    <w:rsid w:val="00EB31C7"/>
    <w:rsid w:val="00EB4AA0"/>
    <w:rsid w:val="00EB6C61"/>
    <w:rsid w:val="00EC0723"/>
    <w:rsid w:val="00EC7BFF"/>
    <w:rsid w:val="00ED10C0"/>
    <w:rsid w:val="00ED6280"/>
    <w:rsid w:val="00EE7A32"/>
    <w:rsid w:val="00EE7D0B"/>
    <w:rsid w:val="00EF26AF"/>
    <w:rsid w:val="00F04196"/>
    <w:rsid w:val="00F13BFE"/>
    <w:rsid w:val="00F20178"/>
    <w:rsid w:val="00F210C3"/>
    <w:rsid w:val="00F240B5"/>
    <w:rsid w:val="00F25270"/>
    <w:rsid w:val="00F266CA"/>
    <w:rsid w:val="00F27327"/>
    <w:rsid w:val="00F3254C"/>
    <w:rsid w:val="00F32CA6"/>
    <w:rsid w:val="00F34BFF"/>
    <w:rsid w:val="00F42193"/>
    <w:rsid w:val="00F454C7"/>
    <w:rsid w:val="00F54923"/>
    <w:rsid w:val="00F54979"/>
    <w:rsid w:val="00F5610B"/>
    <w:rsid w:val="00F637EF"/>
    <w:rsid w:val="00F63A1F"/>
    <w:rsid w:val="00F66EEB"/>
    <w:rsid w:val="00F67506"/>
    <w:rsid w:val="00F7145A"/>
    <w:rsid w:val="00F71480"/>
    <w:rsid w:val="00F737EF"/>
    <w:rsid w:val="00F8438C"/>
    <w:rsid w:val="00F85FCC"/>
    <w:rsid w:val="00F86542"/>
    <w:rsid w:val="00F94879"/>
    <w:rsid w:val="00F94BEE"/>
    <w:rsid w:val="00FA07B1"/>
    <w:rsid w:val="00FA0ED0"/>
    <w:rsid w:val="00FA4798"/>
    <w:rsid w:val="00FA54D2"/>
    <w:rsid w:val="00FB2B31"/>
    <w:rsid w:val="00FB5F65"/>
    <w:rsid w:val="00FB7459"/>
    <w:rsid w:val="00FC11A7"/>
    <w:rsid w:val="00FC3DC2"/>
    <w:rsid w:val="00FC4847"/>
    <w:rsid w:val="00FC5BEF"/>
    <w:rsid w:val="00FD0F45"/>
    <w:rsid w:val="00FD55B6"/>
    <w:rsid w:val="00FD6CF3"/>
    <w:rsid w:val="00FE0745"/>
    <w:rsid w:val="00FE6AF0"/>
    <w:rsid w:val="00FE78B4"/>
    <w:rsid w:val="00FF0170"/>
    <w:rsid w:val="00FF27EC"/>
    <w:rsid w:val="00FF791B"/>
    <w:rsid w:val="00FF794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D0ACCB0-E721-47B4-B01D-D0C5301A4D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465"/>
  </w:style>
  <w:style w:type="paragraph" w:styleId="Ttulo2">
    <w:name w:val="heading 2"/>
    <w:basedOn w:val="Normal"/>
    <w:next w:val="Normal"/>
    <w:link w:val="Ttulo2Car"/>
    <w:uiPriority w:val="9"/>
    <w:unhideWhenUsed/>
    <w:qFormat/>
    <w:rsid w:val="005E34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5E3465"/>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5E3465"/>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5E3465"/>
    <w:rPr>
      <w:rFonts w:asciiTheme="majorHAnsi" w:eastAsiaTheme="majorEastAsia" w:hAnsiTheme="majorHAnsi" w:cstheme="majorBidi"/>
      <w:b/>
      <w:bCs/>
      <w:color w:val="4F81BD" w:themeColor="accent1"/>
    </w:rPr>
  </w:style>
  <w:style w:type="paragraph" w:styleId="Prrafodelista">
    <w:name w:val="List Paragraph"/>
    <w:basedOn w:val="Normal"/>
    <w:uiPriority w:val="34"/>
    <w:qFormat/>
    <w:rsid w:val="005E3465"/>
    <w:pPr>
      <w:ind w:left="720"/>
      <w:contextualSpacing/>
    </w:pPr>
  </w:style>
  <w:style w:type="paragraph" w:styleId="Textodeglobo">
    <w:name w:val="Balloon Text"/>
    <w:basedOn w:val="Normal"/>
    <w:link w:val="TextodegloboCar"/>
    <w:uiPriority w:val="99"/>
    <w:semiHidden/>
    <w:unhideWhenUsed/>
    <w:rsid w:val="005E346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E3465"/>
    <w:rPr>
      <w:rFonts w:ascii="Tahoma" w:hAnsi="Tahoma" w:cs="Tahoma"/>
      <w:sz w:val="16"/>
      <w:szCs w:val="16"/>
    </w:rPr>
  </w:style>
  <w:style w:type="table" w:styleId="Tablaconcuadrcula">
    <w:name w:val="Table Grid"/>
    <w:basedOn w:val="Tablanormal"/>
    <w:uiPriority w:val="59"/>
    <w:rsid w:val="005E34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5E3465"/>
    <w:rPr>
      <w:sz w:val="16"/>
      <w:szCs w:val="16"/>
    </w:rPr>
  </w:style>
  <w:style w:type="paragraph" w:styleId="Textocomentario">
    <w:name w:val="annotation text"/>
    <w:basedOn w:val="Normal"/>
    <w:link w:val="TextocomentarioCar"/>
    <w:uiPriority w:val="99"/>
    <w:semiHidden/>
    <w:unhideWhenUsed/>
    <w:rsid w:val="005E346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E3465"/>
    <w:rPr>
      <w:sz w:val="20"/>
      <w:szCs w:val="20"/>
    </w:rPr>
  </w:style>
  <w:style w:type="paragraph" w:styleId="Asuntodelcomentario">
    <w:name w:val="annotation subject"/>
    <w:basedOn w:val="Textocomentario"/>
    <w:next w:val="Textocomentario"/>
    <w:link w:val="AsuntodelcomentarioCar"/>
    <w:uiPriority w:val="99"/>
    <w:semiHidden/>
    <w:unhideWhenUsed/>
    <w:rsid w:val="005E3465"/>
    <w:rPr>
      <w:b/>
      <w:bCs/>
    </w:rPr>
  </w:style>
  <w:style w:type="character" w:customStyle="1" w:styleId="AsuntodelcomentarioCar">
    <w:name w:val="Asunto del comentario Car"/>
    <w:basedOn w:val="TextocomentarioCar"/>
    <w:link w:val="Asuntodelcomentario"/>
    <w:uiPriority w:val="99"/>
    <w:semiHidden/>
    <w:rsid w:val="005E3465"/>
    <w:rPr>
      <w:b/>
      <w:bCs/>
      <w:sz w:val="20"/>
      <w:szCs w:val="20"/>
    </w:rPr>
  </w:style>
  <w:style w:type="paragraph" w:styleId="NormalWeb">
    <w:name w:val="Normal (Web)"/>
    <w:basedOn w:val="Normal"/>
    <w:uiPriority w:val="99"/>
    <w:unhideWhenUsed/>
    <w:rsid w:val="005E3465"/>
    <w:pPr>
      <w:spacing w:before="100" w:beforeAutospacing="1" w:after="100" w:afterAutospacing="1" w:line="240" w:lineRule="auto"/>
    </w:pPr>
    <w:rPr>
      <w:rFonts w:ascii="Times New Roman" w:eastAsia="Times New Roman" w:hAnsi="Times New Roman" w:cs="Times New Roman"/>
      <w:sz w:val="24"/>
      <w:szCs w:val="24"/>
      <w:lang w:eastAsia="es-ES"/>
    </w:rPr>
  </w:style>
  <w:style w:type="table" w:customStyle="1" w:styleId="Sombreadoclaro1">
    <w:name w:val="Sombreado claro1"/>
    <w:basedOn w:val="Tablanormal"/>
    <w:uiPriority w:val="60"/>
    <w:rsid w:val="005E346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Encabezado">
    <w:name w:val="header"/>
    <w:basedOn w:val="Normal"/>
    <w:link w:val="EncabezadoCar"/>
    <w:uiPriority w:val="99"/>
    <w:unhideWhenUsed/>
    <w:rsid w:val="005E346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E3465"/>
  </w:style>
  <w:style w:type="paragraph" w:styleId="Piedepgina">
    <w:name w:val="footer"/>
    <w:basedOn w:val="Normal"/>
    <w:link w:val="PiedepginaCar"/>
    <w:uiPriority w:val="99"/>
    <w:unhideWhenUsed/>
    <w:rsid w:val="005E346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E3465"/>
  </w:style>
  <w:style w:type="paragraph" w:styleId="Descripcin">
    <w:name w:val="caption"/>
    <w:basedOn w:val="Normal"/>
    <w:next w:val="Normal"/>
    <w:uiPriority w:val="35"/>
    <w:unhideWhenUsed/>
    <w:qFormat/>
    <w:rsid w:val="005E3465"/>
    <w:pPr>
      <w:spacing w:line="240" w:lineRule="auto"/>
    </w:pPr>
    <w:rPr>
      <w:b/>
      <w:bCs/>
      <w:color w:val="4F81BD" w:themeColor="accent1"/>
      <w:sz w:val="18"/>
      <w:szCs w:val="18"/>
    </w:rPr>
  </w:style>
  <w:style w:type="character" w:styleId="Hipervnculo">
    <w:name w:val="Hyperlink"/>
    <w:basedOn w:val="Fuentedeprrafopredeter"/>
    <w:uiPriority w:val="99"/>
    <w:unhideWhenUsed/>
    <w:rsid w:val="005E3465"/>
    <w:rPr>
      <w:color w:val="0000FF" w:themeColor="hyperlink"/>
      <w:u w:val="single"/>
    </w:rPr>
  </w:style>
  <w:style w:type="paragraph" w:styleId="Textoindependiente2">
    <w:name w:val="Body Text 2"/>
    <w:basedOn w:val="Normal"/>
    <w:link w:val="Textoindependiente2Car"/>
    <w:rsid w:val="005E3465"/>
    <w:pPr>
      <w:autoSpaceDE w:val="0"/>
      <w:autoSpaceDN w:val="0"/>
      <w:adjustRightInd w:val="0"/>
      <w:spacing w:after="0" w:line="360" w:lineRule="auto"/>
      <w:jc w:val="center"/>
    </w:pPr>
    <w:rPr>
      <w:rFonts w:ascii="Times New Roman" w:eastAsia="Times New Roman" w:hAnsi="Times New Roman" w:cs="Times New Roman"/>
      <w:sz w:val="24"/>
      <w:szCs w:val="24"/>
      <w:lang w:val="en-US" w:eastAsia="pt-BR"/>
    </w:rPr>
  </w:style>
  <w:style w:type="character" w:customStyle="1" w:styleId="Textoindependiente2Car">
    <w:name w:val="Texto independiente 2 Car"/>
    <w:basedOn w:val="Fuentedeprrafopredeter"/>
    <w:link w:val="Textoindependiente2"/>
    <w:rsid w:val="005E3465"/>
    <w:rPr>
      <w:rFonts w:ascii="Times New Roman" w:eastAsia="Times New Roman" w:hAnsi="Times New Roman" w:cs="Times New Roman"/>
      <w:sz w:val="24"/>
      <w:szCs w:val="24"/>
      <w:lang w:val="en-US" w:eastAsia="pt-BR"/>
    </w:rPr>
  </w:style>
  <w:style w:type="character" w:styleId="Textodelmarcadordeposicin">
    <w:name w:val="Placeholder Text"/>
    <w:basedOn w:val="Fuentedeprrafopredeter"/>
    <w:uiPriority w:val="99"/>
    <w:semiHidden/>
    <w:rsid w:val="005E3465"/>
    <w:rPr>
      <w:color w:val="808080"/>
    </w:rPr>
  </w:style>
  <w:style w:type="paragraph" w:customStyle="1" w:styleId="RSCB02ArticleText">
    <w:name w:val="RSC B02 Article Text"/>
    <w:basedOn w:val="Normal"/>
    <w:link w:val="RSCB02ArticleTextChar"/>
    <w:qFormat/>
    <w:rsid w:val="005E3465"/>
    <w:pPr>
      <w:tabs>
        <w:tab w:val="left" w:pos="284"/>
      </w:tabs>
      <w:spacing w:after="0" w:line="240" w:lineRule="exact"/>
      <w:jc w:val="both"/>
    </w:pPr>
    <w:rPr>
      <w:rFonts w:ascii="Calibri" w:eastAsia="Calibri" w:hAnsi="Calibri" w:cs="Times New Roman"/>
      <w:w w:val="108"/>
      <w:sz w:val="18"/>
      <w:szCs w:val="18"/>
      <w:lang w:val="en-GB"/>
    </w:rPr>
  </w:style>
  <w:style w:type="character" w:customStyle="1" w:styleId="RSCB02ArticleTextChar">
    <w:name w:val="RSC B02 Article Text Char"/>
    <w:link w:val="RSCB02ArticleText"/>
    <w:rsid w:val="005E3465"/>
    <w:rPr>
      <w:rFonts w:ascii="Calibri" w:eastAsia="Calibri" w:hAnsi="Calibri" w:cs="Times New Roman"/>
      <w:w w:val="108"/>
      <w:sz w:val="18"/>
      <w:szCs w:val="18"/>
      <w:lang w:val="en-GB"/>
    </w:rPr>
  </w:style>
  <w:style w:type="paragraph" w:styleId="Revisin">
    <w:name w:val="Revision"/>
    <w:hidden/>
    <w:uiPriority w:val="99"/>
    <w:semiHidden/>
    <w:rsid w:val="005E3465"/>
    <w:pPr>
      <w:spacing w:after="0" w:line="240" w:lineRule="auto"/>
    </w:pPr>
  </w:style>
  <w:style w:type="character" w:styleId="Textoennegrita">
    <w:name w:val="Strong"/>
    <w:basedOn w:val="Fuentedeprrafopredeter"/>
    <w:uiPriority w:val="22"/>
    <w:qFormat/>
    <w:rsid w:val="005E3465"/>
    <w:rPr>
      <w:b/>
      <w:bCs/>
    </w:rPr>
  </w:style>
  <w:style w:type="character" w:customStyle="1" w:styleId="tlid-translation">
    <w:name w:val="tlid-translation"/>
    <w:basedOn w:val="Fuentedeprrafopredeter"/>
    <w:rsid w:val="005E3465"/>
  </w:style>
  <w:style w:type="paragraph" w:customStyle="1" w:styleId="EndNoteBibliographyTitle">
    <w:name w:val="EndNote Bibliography Title"/>
    <w:basedOn w:val="Normal"/>
    <w:link w:val="EndNoteBibliographyTitleCar"/>
    <w:rsid w:val="005E3465"/>
    <w:pPr>
      <w:spacing w:after="0"/>
      <w:jc w:val="center"/>
    </w:pPr>
    <w:rPr>
      <w:rFonts w:ascii="Times New Roman" w:hAnsi="Times New Roman" w:cs="Times New Roman"/>
      <w:noProof/>
      <w:sz w:val="24"/>
      <w:lang w:val="en-US"/>
    </w:rPr>
  </w:style>
  <w:style w:type="character" w:customStyle="1" w:styleId="EndNoteBibliographyTitleCar">
    <w:name w:val="EndNote Bibliography Title Car"/>
    <w:basedOn w:val="Fuentedeprrafopredeter"/>
    <w:link w:val="EndNoteBibliographyTitle"/>
    <w:rsid w:val="005E3465"/>
    <w:rPr>
      <w:rFonts w:ascii="Times New Roman" w:hAnsi="Times New Roman" w:cs="Times New Roman"/>
      <w:noProof/>
      <w:sz w:val="24"/>
      <w:lang w:val="en-US"/>
    </w:rPr>
  </w:style>
  <w:style w:type="paragraph" w:customStyle="1" w:styleId="EndNoteBibliography">
    <w:name w:val="EndNote Bibliography"/>
    <w:basedOn w:val="Normal"/>
    <w:link w:val="EndNoteBibliographyCar"/>
    <w:rsid w:val="005E3465"/>
    <w:pPr>
      <w:spacing w:line="360" w:lineRule="auto"/>
    </w:pPr>
    <w:rPr>
      <w:rFonts w:ascii="Times New Roman" w:hAnsi="Times New Roman" w:cs="Times New Roman"/>
      <w:noProof/>
      <w:sz w:val="24"/>
      <w:lang w:val="en-US"/>
    </w:rPr>
  </w:style>
  <w:style w:type="character" w:customStyle="1" w:styleId="EndNoteBibliographyCar">
    <w:name w:val="EndNote Bibliography Car"/>
    <w:basedOn w:val="Fuentedeprrafopredeter"/>
    <w:link w:val="EndNoteBibliography"/>
    <w:rsid w:val="005E3465"/>
    <w:rPr>
      <w:rFonts w:ascii="Times New Roman" w:hAnsi="Times New Roman" w:cs="Times New Roman"/>
      <w:noProof/>
      <w:sz w:val="24"/>
      <w:lang w:val="en-US"/>
    </w:rPr>
  </w:style>
  <w:style w:type="character" w:customStyle="1" w:styleId="jlqj4b">
    <w:name w:val="jlqj4b"/>
    <w:basedOn w:val="Fuentedeprrafopredeter"/>
    <w:rsid w:val="005E3465"/>
  </w:style>
  <w:style w:type="paragraph" w:styleId="Textonotapie">
    <w:name w:val="footnote text"/>
    <w:basedOn w:val="Normal"/>
    <w:link w:val="TextonotapieCar"/>
    <w:unhideWhenUsed/>
    <w:qFormat/>
    <w:rsid w:val="005E3465"/>
    <w:pPr>
      <w:widowControl w:val="0"/>
      <w:autoSpaceDE w:val="0"/>
      <w:autoSpaceDN w:val="0"/>
      <w:adjustRightInd w:val="0"/>
      <w:spacing w:after="0" w:line="240" w:lineRule="auto"/>
    </w:pPr>
    <w:rPr>
      <w:rFonts w:ascii="Arial" w:eastAsiaTheme="minorEastAsia" w:hAnsi="Arial" w:cs="Arial"/>
      <w:color w:val="000000"/>
      <w:sz w:val="20"/>
      <w:szCs w:val="20"/>
      <w:lang w:eastAsia="en-GB"/>
    </w:rPr>
  </w:style>
  <w:style w:type="character" w:customStyle="1" w:styleId="TextonotapieCar">
    <w:name w:val="Texto nota pie Car"/>
    <w:basedOn w:val="Fuentedeprrafopredeter"/>
    <w:link w:val="Textonotapie"/>
    <w:rsid w:val="005E3465"/>
    <w:rPr>
      <w:rFonts w:ascii="Arial" w:eastAsiaTheme="minorEastAsia" w:hAnsi="Arial" w:cs="Arial"/>
      <w:color w:val="000000"/>
      <w:sz w:val="20"/>
      <w:szCs w:val="20"/>
      <w:lang w:eastAsia="en-GB"/>
    </w:rPr>
  </w:style>
  <w:style w:type="paragraph" w:styleId="Textosinformato">
    <w:name w:val="Plain Text"/>
    <w:basedOn w:val="Normal"/>
    <w:link w:val="TextosinformatoCar"/>
    <w:uiPriority w:val="99"/>
    <w:unhideWhenUsed/>
    <w:rsid w:val="005E3465"/>
    <w:pPr>
      <w:spacing w:after="0" w:line="240" w:lineRule="auto"/>
    </w:pPr>
    <w:rPr>
      <w:rFonts w:ascii="Calibri" w:hAnsi="Calibri"/>
      <w:szCs w:val="21"/>
    </w:rPr>
  </w:style>
  <w:style w:type="character" w:customStyle="1" w:styleId="TextosinformatoCar">
    <w:name w:val="Texto sin formato Car"/>
    <w:basedOn w:val="Fuentedeprrafopredeter"/>
    <w:link w:val="Textosinformato"/>
    <w:uiPriority w:val="99"/>
    <w:rsid w:val="005E3465"/>
    <w:rPr>
      <w:rFonts w:ascii="Calibri" w:hAnsi="Calibri"/>
      <w:szCs w:val="21"/>
    </w:rPr>
  </w:style>
  <w:style w:type="character" w:styleId="Refdenotaalpie">
    <w:name w:val="footnote reference"/>
    <w:basedOn w:val="Fuentedeprrafopredeter"/>
    <w:semiHidden/>
    <w:unhideWhenUsed/>
    <w:rsid w:val="005E3465"/>
    <w:rPr>
      <w:vertAlign w:val="superscript"/>
    </w:rPr>
  </w:style>
  <w:style w:type="paragraph" w:customStyle="1" w:styleId="EstiloTesis">
    <w:name w:val="EstiloTesis"/>
    <w:basedOn w:val="Normal"/>
    <w:link w:val="EstiloTesisCar"/>
    <w:autoRedefine/>
    <w:qFormat/>
    <w:rsid w:val="00FA54D2"/>
    <w:pPr>
      <w:spacing w:line="240" w:lineRule="auto"/>
      <w:jc w:val="both"/>
    </w:pPr>
    <w:rPr>
      <w:rFonts w:ascii="Times New Roman" w:hAnsi="Times New Roman" w:cs="Times New Roman"/>
      <w:sz w:val="24"/>
      <w:szCs w:val="24"/>
      <w:lang w:val="en-GB"/>
    </w:rPr>
  </w:style>
  <w:style w:type="character" w:customStyle="1" w:styleId="EstiloTesisCar">
    <w:name w:val="EstiloTesis Car"/>
    <w:basedOn w:val="Fuentedeprrafopredeter"/>
    <w:link w:val="EstiloTesis"/>
    <w:rsid w:val="00FA54D2"/>
    <w:rPr>
      <w:rFonts w:ascii="Times New Roman" w:hAnsi="Times New Roman" w:cs="Times New Roman"/>
      <w:sz w:val="24"/>
      <w:szCs w:val="24"/>
      <w:lang w:val="en-GB"/>
    </w:rPr>
  </w:style>
  <w:style w:type="table" w:styleId="Sombreadoclaro">
    <w:name w:val="Light Shading"/>
    <w:basedOn w:val="Tablanormal"/>
    <w:uiPriority w:val="60"/>
    <w:rsid w:val="00F5610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hyperlink" Target="mailto:silvia.suarez@ciemat.es" TargetMode="Externa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38</Pages>
  <Words>9851</Words>
  <Characters>54182</Characters>
  <Application>Microsoft Office Word</Application>
  <DocSecurity>0</DocSecurity>
  <Lines>451</Lines>
  <Paragraphs>127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Suarez Gil, Silvia</cp:lastModifiedBy>
  <cp:revision>8</cp:revision>
  <dcterms:created xsi:type="dcterms:W3CDTF">2021-05-07T20:14:00Z</dcterms:created>
  <dcterms:modified xsi:type="dcterms:W3CDTF">2024-02-06T15:58:00Z</dcterms:modified>
</cp:coreProperties>
</file>